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jc w:val="center"/>
        <w:rPr>
          <w:rFonts w:eastAsia="方正小标宋简体"/>
          <w:bCs/>
          <w:color w:val="FF0000"/>
          <w:spacing w:val="-57"/>
          <w:sz w:val="116"/>
          <w:szCs w:val="116"/>
        </w:rPr>
      </w:pPr>
    </w:p>
    <w:p>
      <w:pPr>
        <w:jc w:val="right"/>
        <w:rPr>
          <w:rFonts w:eastAsia="仿宋_GB2312"/>
          <w:sz w:val="32"/>
          <w:szCs w:val="32"/>
        </w:rPr>
      </w:pPr>
    </w:p>
    <w:p>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34</w:t>
      </w:r>
      <w:r>
        <w:rPr>
          <w:rFonts w:eastAsia="仿宋_GB2312"/>
          <w:sz w:val="32"/>
          <w:szCs w:val="32"/>
        </w:rPr>
        <w:t>号</w:t>
      </w:r>
    </w:p>
    <w:p>
      <w:pPr>
        <w:spacing w:line="0" w:lineRule="atLeas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德阳市生态环境局</w:t>
      </w:r>
    </w:p>
    <w:p>
      <w:pPr>
        <w:spacing w:line="600" w:lineRule="exact"/>
        <w:ind w:firstLine="88" w:firstLineChars="20"/>
        <w:jc w:val="center"/>
        <w:outlineLvl w:val="0"/>
        <w:rPr>
          <w:rFonts w:eastAsia="方正小标宋简体"/>
          <w:sz w:val="44"/>
          <w:szCs w:val="44"/>
        </w:rPr>
      </w:pPr>
      <w:r>
        <w:rPr>
          <w:rFonts w:eastAsia="方正小标宋简体"/>
          <w:sz w:val="44"/>
          <w:szCs w:val="44"/>
        </w:rPr>
        <w:t>关于</w:t>
      </w:r>
      <w:r>
        <w:rPr>
          <w:rFonts w:hint="eastAsia" w:eastAsia="方正小标宋简体"/>
          <w:sz w:val="44"/>
          <w:szCs w:val="44"/>
        </w:rPr>
        <w:t>四川益嘉鑫食品有限公司四川益嘉鑫</w:t>
      </w:r>
    </w:p>
    <w:p>
      <w:pPr>
        <w:spacing w:line="600" w:lineRule="exact"/>
        <w:ind w:firstLine="88" w:firstLineChars="20"/>
        <w:jc w:val="center"/>
        <w:outlineLvl w:val="0"/>
        <w:rPr>
          <w:rFonts w:eastAsia="方正小标宋简体"/>
          <w:sz w:val="44"/>
          <w:szCs w:val="44"/>
        </w:rPr>
      </w:pPr>
      <w:r>
        <w:rPr>
          <w:rFonts w:hint="eastAsia" w:eastAsia="方正小标宋简体"/>
          <w:sz w:val="44"/>
          <w:szCs w:val="44"/>
        </w:rPr>
        <w:t>食品加工项目</w:t>
      </w:r>
      <w:r>
        <w:rPr>
          <w:rFonts w:eastAsia="方正小标宋简体"/>
          <w:sz w:val="44"/>
          <w:szCs w:val="44"/>
        </w:rPr>
        <w:t>《环境影响报告表》的批复</w:t>
      </w:r>
    </w:p>
    <w:p>
      <w:pPr>
        <w:spacing w:line="0" w:lineRule="atLeast"/>
        <w:jc w:val="center"/>
        <w:rPr>
          <w:rFonts w:eastAsia="方正小标宋简体"/>
          <w:sz w:val="24"/>
        </w:rPr>
      </w:pPr>
    </w:p>
    <w:p>
      <w:pPr>
        <w:spacing w:line="520" w:lineRule="exact"/>
        <w:rPr>
          <w:rFonts w:eastAsia="仿宋_GB2312"/>
          <w:kern w:val="0"/>
          <w:sz w:val="32"/>
          <w:szCs w:val="32"/>
        </w:rPr>
      </w:pPr>
      <w:r>
        <w:rPr>
          <w:rFonts w:hint="eastAsia" w:eastAsia="仿宋_GB2312"/>
          <w:kern w:val="0"/>
          <w:sz w:val="32"/>
          <w:szCs w:val="32"/>
        </w:rPr>
        <w:t>四川益嘉鑫食品有限公司：</w:t>
      </w:r>
    </w:p>
    <w:p>
      <w:pPr>
        <w:spacing w:line="520" w:lineRule="exact"/>
        <w:ind w:firstLine="640" w:firstLineChars="200"/>
        <w:rPr>
          <w:rFonts w:eastAsia="仿宋_GB2312"/>
          <w:kern w:val="0"/>
          <w:sz w:val="32"/>
          <w:szCs w:val="32"/>
        </w:rPr>
      </w:pPr>
      <w:r>
        <w:rPr>
          <w:rFonts w:eastAsia="仿宋_GB2312"/>
          <w:kern w:val="0"/>
          <w:sz w:val="32"/>
          <w:szCs w:val="32"/>
        </w:rPr>
        <w:t>你公司报送的</w:t>
      </w:r>
      <w:r>
        <w:rPr>
          <w:rFonts w:hint="eastAsia" w:eastAsia="仿宋_GB2312"/>
          <w:kern w:val="0"/>
          <w:sz w:val="32"/>
          <w:szCs w:val="32"/>
        </w:rPr>
        <w:t>四川益嘉鑫食品加工项目</w:t>
      </w:r>
      <w:r>
        <w:rPr>
          <w:rFonts w:eastAsia="仿宋_GB2312"/>
          <w:kern w:val="0"/>
          <w:sz w:val="32"/>
          <w:szCs w:val="32"/>
        </w:rPr>
        <w:t>《环境影响报告表》（以下简称“报告表”）收悉。经研究，批复如下：</w:t>
      </w:r>
    </w:p>
    <w:p>
      <w:pPr>
        <w:pStyle w:val="8"/>
        <w:widowControl/>
        <w:spacing w:before="0" w:beforeAutospacing="0" w:after="0" w:afterAutospacing="0" w:line="520" w:lineRule="exact"/>
        <w:rPr>
          <w:rFonts w:eastAsia="仿宋_GB2312"/>
          <w:sz w:val="32"/>
          <w:szCs w:val="32"/>
        </w:rPr>
      </w:pPr>
      <w:r>
        <w:rPr>
          <w:rFonts w:eastAsia="仿宋_GB2312"/>
          <w:sz w:val="32"/>
          <w:szCs w:val="32"/>
        </w:rPr>
        <w:t xml:space="preserve">    一、</w:t>
      </w:r>
      <w:r>
        <w:rPr>
          <w:rFonts w:hint="eastAsia" w:eastAsia="仿宋_GB2312"/>
          <w:sz w:val="32"/>
          <w:szCs w:val="32"/>
        </w:rPr>
        <w:t>该项目为新建</w:t>
      </w:r>
      <w:r>
        <w:rPr>
          <w:rFonts w:hint="eastAsia" w:ascii="仿宋_GB2312" w:hAnsi="仿宋_GB2312" w:eastAsia="仿宋_GB2312" w:cs="仿宋_GB2312"/>
          <w:sz w:val="32"/>
          <w:szCs w:val="32"/>
        </w:rPr>
        <w:t>项目,拟在广汉市</w:t>
      </w:r>
      <w:r>
        <w:rPr>
          <w:rFonts w:hint="eastAsia" w:eastAsia="仿宋_GB2312"/>
          <w:sz w:val="32"/>
          <w:szCs w:val="32"/>
        </w:rPr>
        <w:t>向阳镇玉溪路58号租赁四川牛大汉食品有限公司已建标准厂房建设，用地面积2800平方米。项目内容及规模为：依托已建生产车间及相关公辅设施，购置粉条机、米粉机、牛筋面机、汤圆机、蒸煮锅、泡米桶、漏水桶、磨浆机、冷却机、搅拌机、包装机等生产设备，布设粉条、米粉、醪糟、牛筋面、汤圆、粽子、白条兔生产线，形成年产粉条4000吨、米粉3600吨、醪糟540吨、牛筋面140吨、汤圆540吨、粽子540吨、白条兔3000吨的生产能力。项目总投资100万元，其中环保投资20万元。</w:t>
      </w:r>
      <w:r>
        <w:rPr>
          <w:rFonts w:hint="eastAsia" w:ascii="仿宋_GB2312" w:hAnsi="仿宋_GB2312" w:eastAsia="仿宋_GB2312" w:cs="仿宋_GB2312"/>
          <w:color w:val="000000" w:themeColor="text1"/>
          <w:sz w:val="32"/>
          <w:szCs w:val="32"/>
        </w:rPr>
        <w:br w:type="textWrapping"/>
      </w:r>
      <w:r>
        <w:rPr>
          <w:rFonts w:hint="eastAsia" w:eastAsia="仿宋_GB2312"/>
          <w:sz w:val="32"/>
          <w:szCs w:val="32"/>
        </w:rPr>
        <w:t xml:space="preserve">    </w:t>
      </w:r>
      <w:r>
        <w:rPr>
          <w:rFonts w:eastAsia="仿宋_GB2312"/>
          <w:sz w:val="32"/>
          <w:szCs w:val="32"/>
        </w:rPr>
        <w:t>项目在四川省投资项目在线审批监管平台进行了备案（备案号：川投资备[</w:t>
      </w:r>
      <w:r>
        <w:rPr>
          <w:rFonts w:hint="eastAsia" w:eastAsia="仿宋_GB2312"/>
          <w:sz w:val="32"/>
          <w:szCs w:val="32"/>
        </w:rPr>
        <w:t>2311</w:t>
      </w:r>
      <w:r>
        <w:rPr>
          <w:rFonts w:eastAsia="仿宋_GB2312"/>
          <w:sz w:val="32"/>
          <w:szCs w:val="32"/>
        </w:rPr>
        <w:t>-5106</w:t>
      </w:r>
      <w:r>
        <w:rPr>
          <w:rFonts w:hint="eastAsia" w:eastAsia="仿宋_GB2312"/>
          <w:sz w:val="32"/>
          <w:szCs w:val="32"/>
        </w:rPr>
        <w:t>81</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1</w:t>
      </w:r>
      <w:r>
        <w:rPr>
          <w:rFonts w:eastAsia="仿宋_GB2312"/>
          <w:sz w:val="32"/>
          <w:szCs w:val="32"/>
        </w:rPr>
        <w:t>-</w:t>
      </w:r>
      <w:r>
        <w:rPr>
          <w:rFonts w:hint="eastAsia" w:eastAsia="仿宋_GB2312"/>
          <w:sz w:val="32"/>
          <w:szCs w:val="32"/>
        </w:rPr>
        <w:t>847931</w:t>
      </w:r>
      <w:r>
        <w:rPr>
          <w:rFonts w:eastAsia="仿宋_GB2312"/>
          <w:sz w:val="32"/>
          <w:szCs w:val="32"/>
        </w:rPr>
        <w:t>]</w:t>
      </w:r>
      <w:r>
        <w:rPr>
          <w:rFonts w:hint="eastAsia" w:eastAsia="仿宋_GB2312"/>
          <w:sz w:val="32"/>
          <w:szCs w:val="32"/>
        </w:rPr>
        <w:t>FGQB</w:t>
      </w:r>
      <w:r>
        <w:rPr>
          <w:rFonts w:eastAsia="仿宋_GB2312"/>
          <w:sz w:val="32"/>
          <w:szCs w:val="32"/>
        </w:rPr>
        <w:t>-</w:t>
      </w:r>
      <w:r>
        <w:rPr>
          <w:rFonts w:hint="eastAsia" w:eastAsia="仿宋_GB2312"/>
          <w:sz w:val="32"/>
          <w:szCs w:val="32"/>
        </w:rPr>
        <w:t>0500</w:t>
      </w:r>
      <w:r>
        <w:rPr>
          <w:rFonts w:eastAsia="仿宋_GB2312"/>
          <w:sz w:val="32"/>
          <w:szCs w:val="32"/>
        </w:rPr>
        <w:t>号），符合国家现行产业政策</w:t>
      </w:r>
      <w:r>
        <w:rPr>
          <w:rFonts w:eastAsia="仿宋_GB2312"/>
          <w:sz w:val="32"/>
          <w:szCs w:val="32"/>
          <w:lang w:val="zh-CN"/>
        </w:rPr>
        <w:t>；</w:t>
      </w:r>
      <w:r>
        <w:rPr>
          <w:rFonts w:hint="eastAsia" w:ascii="仿宋_GB2312" w:eastAsia="仿宋_GB2312"/>
          <w:sz w:val="32"/>
          <w:szCs w:val="32"/>
        </w:rPr>
        <w:t>根据德阳高新技术产业开发区规划及</w:t>
      </w:r>
      <w:r>
        <w:rPr>
          <w:rFonts w:hint="eastAsia" w:eastAsia="仿宋_GB2312"/>
          <w:sz w:val="32"/>
          <w:szCs w:val="32"/>
        </w:rPr>
        <w:t>四川牛大汉食品有限公司</w:t>
      </w:r>
      <w:r>
        <w:rPr>
          <w:rFonts w:hint="eastAsia" w:ascii="仿宋_GB2312" w:hAnsi="仿宋_GB2312" w:eastAsia="仿宋_GB2312" w:cs="仿宋_GB2312"/>
          <w:sz w:val="32"/>
          <w:szCs w:val="32"/>
        </w:rPr>
        <w:t>取得的《不动产权证》</w:t>
      </w:r>
      <w:r>
        <w:rPr>
          <w:rFonts w:hint="eastAsia" w:ascii="仿宋_GB2312" w:eastAsia="仿宋_GB2312"/>
          <w:sz w:val="32"/>
          <w:szCs w:val="32"/>
        </w:rPr>
        <w:t>，项目用地性质为工业用地，</w:t>
      </w:r>
      <w:r>
        <w:rPr>
          <w:rFonts w:eastAsia="仿宋_GB2312"/>
          <w:sz w:val="32"/>
          <w:szCs w:val="32"/>
        </w:rPr>
        <w:t>选址</w:t>
      </w:r>
      <w:r>
        <w:rPr>
          <w:rFonts w:hint="eastAsia" w:eastAsia="仿宋_GB2312"/>
          <w:sz w:val="32"/>
          <w:szCs w:val="32"/>
        </w:rPr>
        <w:t>符合规划</w:t>
      </w:r>
      <w:r>
        <w:rPr>
          <w:rFonts w:eastAsia="仿宋_GB2312"/>
          <w:sz w:val="32"/>
          <w:szCs w:val="32"/>
        </w:rPr>
        <w:t>。</w:t>
      </w:r>
    </w:p>
    <w:p>
      <w:pPr>
        <w:spacing w:line="52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r>
        <w:rPr>
          <w:rFonts w:eastAsia="仿宋_GB2312"/>
          <w:kern w:val="0"/>
          <w:sz w:val="32"/>
          <w:szCs w:val="32"/>
        </w:rPr>
        <w:t>。</w:t>
      </w:r>
    </w:p>
    <w:p>
      <w:pPr>
        <w:widowControl/>
        <w:spacing w:line="52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pPr>
        <w:spacing w:line="520" w:lineRule="exact"/>
        <w:ind w:firstLine="640" w:firstLineChars="200"/>
        <w:rPr>
          <w:rFonts w:eastAsia="仿宋_GB2312"/>
          <w:sz w:val="32"/>
          <w:szCs w:val="32"/>
        </w:rPr>
      </w:pPr>
      <w:r>
        <w:rPr>
          <w:rFonts w:eastAsia="仿宋_GB2312"/>
          <w:sz w:val="32"/>
          <w:szCs w:val="32"/>
        </w:rPr>
        <w:t>（一）</w:t>
      </w:r>
      <w:r>
        <w:rPr>
          <w:rFonts w:hint="eastAsia" w:ascii="仿宋_GB2312" w:hAnsi="仿宋_GB2312" w:eastAsia="仿宋_GB2312" w:cs="仿宋_GB2312"/>
          <w:sz w:val="32"/>
          <w:szCs w:val="32"/>
        </w:rPr>
        <w:t>必须严格贯彻执行“预防为主、保护优先”的原则</w:t>
      </w:r>
      <w:r>
        <w:rPr>
          <w:rFonts w:eastAsia="仿宋_GB2312"/>
          <w:sz w:val="32"/>
          <w:szCs w:val="32"/>
        </w:rPr>
        <w:t>，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pPr>
        <w:pStyle w:val="2"/>
        <w:spacing w:line="52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pPr>
        <w:spacing w:line="520" w:lineRule="exact"/>
        <w:ind w:firstLine="640" w:firstLineChars="200"/>
        <w:rPr>
          <w:rFonts w:eastAsia="仿宋_GB2312"/>
          <w:sz w:val="32"/>
          <w:szCs w:val="32"/>
        </w:rPr>
      </w:pPr>
      <w:r>
        <w:rPr>
          <w:rFonts w:eastAsia="仿宋_GB2312"/>
          <w:sz w:val="32"/>
          <w:szCs w:val="32"/>
        </w:rPr>
        <w:t>（三）严格落实并优化报告表提出的各项废气处理措施。</w:t>
      </w:r>
      <w:r>
        <w:rPr>
          <w:rFonts w:hint="eastAsia" w:eastAsia="仿宋_GB2312"/>
          <w:sz w:val="32"/>
          <w:szCs w:val="32"/>
        </w:rPr>
        <w:t>落实燃气锅炉低氮燃烧装置，确保天然气燃烧废气经收集处理后由1根15m高排气筒达标排放；落实车间冲洗、喷洒除臭剂、通风等措施，确保异味、恶臭、少量激光打码废气无组织达标排放，对周边环境不产生影响。</w:t>
      </w:r>
    </w:p>
    <w:p>
      <w:pPr>
        <w:spacing w:line="520" w:lineRule="exact"/>
        <w:ind w:firstLine="640" w:firstLineChars="200"/>
        <w:rPr>
          <w:rFonts w:eastAsia="仿宋_GB2312"/>
          <w:sz w:val="32"/>
          <w:szCs w:val="32"/>
        </w:rPr>
      </w:pPr>
      <w:r>
        <w:rPr>
          <w:rFonts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rPr>
        <w:t>项目生产废水原料浸泡废水、清洗废水、洗面废水、蒸煮废水、压滤废水、车间清洗废水、设备清洗废水、软水制备浓水、锅炉废水、质检室废水等依托四川五虎将食品有限责任公司污水处理站处理达《肉类加工工业水污染物排放标准》（</w:t>
      </w:r>
      <w:r>
        <w:rPr>
          <w:rFonts w:hint="eastAsia" w:eastAsia="仿宋_GB2312"/>
          <w:kern w:val="0"/>
          <w:sz w:val="32"/>
          <w:szCs w:val="32"/>
        </w:rPr>
        <w:t>GB13457-1992</w:t>
      </w:r>
      <w:r>
        <w:rPr>
          <w:rFonts w:hint="eastAsia" w:ascii="仿宋_GB2312" w:hAnsi="仿宋_GB2312" w:eastAsia="仿宋_GB2312" w:cs="仿宋_GB2312"/>
          <w:color w:val="000000" w:themeColor="text1"/>
          <w:sz w:val="32"/>
          <w:szCs w:val="32"/>
        </w:rPr>
        <w:t>）表3中的肉制品加工三级标准后，与经厂区内已建预处理池处理的生活污水一并排入市政污水管网，纳入广汉市第二（雒南）污水处理厂处理达《四川省岷江、沱江流域水污染物排放标准》（</w:t>
      </w:r>
      <w:r>
        <w:rPr>
          <w:rFonts w:hint="eastAsia" w:eastAsia="仿宋_GB2312"/>
          <w:kern w:val="0"/>
          <w:sz w:val="32"/>
          <w:szCs w:val="32"/>
        </w:rPr>
        <w:t>DB51/2311-2016</w:t>
      </w:r>
      <w:r>
        <w:rPr>
          <w:rFonts w:hint="eastAsia" w:ascii="仿宋_GB2312" w:hAnsi="仿宋_GB2312" w:eastAsia="仿宋_GB2312" w:cs="仿宋_GB2312"/>
          <w:color w:val="000000" w:themeColor="text1"/>
          <w:sz w:val="32"/>
          <w:szCs w:val="32"/>
        </w:rPr>
        <w:t>）中工业园区集中式污水处理厂标准后外排。</w:t>
      </w:r>
    </w:p>
    <w:p>
      <w:pPr>
        <w:spacing w:line="52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pPr>
        <w:spacing w:line="520" w:lineRule="exact"/>
        <w:ind w:firstLine="640" w:firstLineChars="200"/>
        <w:rPr>
          <w:rFonts w:ascii="仿宋_GB2312" w:eastAsia="仿宋_GB2312"/>
          <w:sz w:val="32"/>
          <w:szCs w:val="32"/>
        </w:rPr>
      </w:pPr>
      <w:r>
        <w:rPr>
          <w:rFonts w:eastAsia="仿宋_GB2312"/>
          <w:sz w:val="32"/>
          <w:szCs w:val="32"/>
        </w:rPr>
        <w:t>（六）</w:t>
      </w:r>
      <w:r>
        <w:rPr>
          <w:rFonts w:hint="eastAsia" w:ascii="仿宋_GB2312"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eastAsia="仿宋_GB2312"/>
          <w:sz w:val="32"/>
          <w:szCs w:val="32"/>
        </w:rPr>
        <w:t>项目</w:t>
      </w:r>
      <w:r>
        <w:rPr>
          <w:rFonts w:hint="eastAsia" w:ascii="仿宋_GB2312" w:hAnsi="仿宋_GB2312" w:eastAsia="仿宋_GB2312" w:cs="仿宋_GB2312"/>
          <w:color w:val="000000" w:themeColor="text1"/>
          <w:sz w:val="32"/>
          <w:szCs w:val="32"/>
        </w:rPr>
        <w:t>废包装材料外售废品回收站；碎骨、皮毛块等杂质及隔油池废油脂交由具有餐厨垃圾处理资质的单位收运处理；废机油及桶、废含油手套抹布属危险废物，须妥善安全收储，落</w:t>
      </w:r>
      <w:r>
        <w:rPr>
          <w:rFonts w:hint="eastAsia" w:ascii="仿宋_GB2312" w:eastAsia="仿宋_GB2312"/>
          <w:sz w:val="32"/>
          <w:szCs w:val="32"/>
        </w:rPr>
        <w:t>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rPr>
        <w:t>生活垃圾收集后交环卫部门清运处理</w:t>
      </w:r>
      <w:r>
        <w:rPr>
          <w:rFonts w:hint="eastAsia" w:ascii="仿宋_GB2312" w:eastAsia="仿宋_GB2312"/>
          <w:sz w:val="32"/>
          <w:szCs w:val="32"/>
        </w:rPr>
        <w:t>。</w:t>
      </w:r>
    </w:p>
    <w:p>
      <w:pPr>
        <w:pStyle w:val="2"/>
        <w:spacing w:line="520" w:lineRule="exact"/>
        <w:ind w:firstLine="640"/>
        <w:rPr>
          <w:rFonts w:eastAsia="仿宋_GB2312"/>
        </w:rPr>
      </w:pPr>
      <w:r>
        <w:rPr>
          <w:rFonts w:eastAsia="仿宋_GB2312"/>
          <w:sz w:val="32"/>
          <w:szCs w:val="32"/>
        </w:rPr>
        <w:t>（七）严格落实并优化报告表提出的地下水和土壤污染防治措施。项目将</w:t>
      </w:r>
      <w:r>
        <w:rPr>
          <w:rFonts w:hint="eastAsia" w:ascii="仿宋_GB2312" w:hAnsi="仿宋_GB2312" w:eastAsia="仿宋_GB2312" w:cs="仿宋_GB2312"/>
          <w:color w:val="000000" w:themeColor="text1"/>
          <w:sz w:val="32"/>
          <w:szCs w:val="32"/>
        </w:rPr>
        <w:t>危废贮存库、涉油设备区域地面</w:t>
      </w:r>
      <w:r>
        <w:rPr>
          <w:rFonts w:eastAsia="仿宋_GB2312"/>
          <w:sz w:val="32"/>
          <w:szCs w:val="32"/>
        </w:rPr>
        <w:t>设置为重点防渗区，</w:t>
      </w:r>
      <w:r>
        <w:rPr>
          <w:rFonts w:hint="eastAsia" w:eastAsia="仿宋_GB2312"/>
          <w:sz w:val="32"/>
          <w:szCs w:val="32"/>
        </w:rPr>
        <w:t>将厂房内除重点防渗区及更衣室以外的其他区域设置为</w:t>
      </w:r>
      <w:r>
        <w:rPr>
          <w:rFonts w:eastAsia="仿宋_GB2312"/>
          <w:sz w:val="32"/>
          <w:szCs w:val="32"/>
        </w:rPr>
        <w:t>一般</w:t>
      </w:r>
      <w:r>
        <w:rPr>
          <w:rFonts w:hint="eastAsia" w:eastAsia="仿宋_GB2312"/>
          <w:sz w:val="32"/>
          <w:szCs w:val="32"/>
        </w:rPr>
        <w:t>防渗区，</w:t>
      </w:r>
      <w:r>
        <w:rPr>
          <w:rFonts w:eastAsia="仿宋_GB2312"/>
          <w:sz w:val="32"/>
          <w:szCs w:val="32"/>
        </w:rPr>
        <w:t>将</w:t>
      </w:r>
      <w:r>
        <w:rPr>
          <w:rFonts w:hint="eastAsia" w:eastAsia="仿宋_GB2312"/>
          <w:sz w:val="32"/>
          <w:szCs w:val="32"/>
        </w:rPr>
        <w:t>更衣室</w:t>
      </w:r>
      <w:r>
        <w:rPr>
          <w:rFonts w:eastAsia="仿宋_GB2312"/>
          <w:sz w:val="32"/>
          <w:szCs w:val="32"/>
        </w:rPr>
        <w:t>设置为</w:t>
      </w:r>
      <w:r>
        <w:rPr>
          <w:rFonts w:hint="eastAsia" w:eastAsia="仿宋_GB2312"/>
          <w:sz w:val="32"/>
          <w:szCs w:val="32"/>
        </w:rPr>
        <w:t>简单</w:t>
      </w:r>
      <w:r>
        <w:rPr>
          <w:rFonts w:eastAsia="仿宋_GB2312"/>
          <w:sz w:val="32"/>
          <w:szCs w:val="32"/>
        </w:rPr>
        <w:t>防渗区，分别采取防渗措施。建立和完善地下水、土壤污染监控制度和环境管理体系，发现问题及时采取措施，避免污染周边地下水和土壤环境。</w:t>
      </w:r>
    </w:p>
    <w:p>
      <w:pPr>
        <w:numPr>
          <w:ilvl w:val="0"/>
          <w:numId w:val="1"/>
        </w:numPr>
        <w:spacing w:line="52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pPr>
        <w:pStyle w:val="2"/>
        <w:numPr>
          <w:ilvl w:val="0"/>
          <w:numId w:val="1"/>
        </w:numPr>
        <w:spacing w:line="520" w:lineRule="exact"/>
        <w:ind w:firstLine="640"/>
        <w:rPr>
          <w:rFonts w:eastAsia="仿宋_GB2312"/>
          <w:sz w:val="32"/>
          <w:szCs w:val="32"/>
        </w:rPr>
      </w:pPr>
      <w:r>
        <w:rPr>
          <w:rFonts w:eastAsia="仿宋_GB2312"/>
          <w:sz w:val="32"/>
          <w:szCs w:val="32"/>
        </w:rPr>
        <w:t>按照相关要求规范设置各类排污口和标志标牌，落实</w:t>
      </w:r>
      <w:r>
        <w:rPr>
          <w:rFonts w:hint="eastAsia" w:eastAsia="仿宋_GB2312"/>
          <w:sz w:val="32"/>
          <w:szCs w:val="32"/>
        </w:rPr>
        <w:t>报</w:t>
      </w:r>
      <w:r>
        <w:rPr>
          <w:rFonts w:eastAsia="仿宋_GB2312"/>
          <w:sz w:val="32"/>
          <w:szCs w:val="32"/>
        </w:rPr>
        <w:t>告表提出的环境管理要求和监测计划。</w:t>
      </w:r>
    </w:p>
    <w:p>
      <w:pPr>
        <w:spacing w:line="520" w:lineRule="exact"/>
        <w:ind w:firstLine="640" w:firstLineChars="200"/>
        <w:rPr>
          <w:rFonts w:eastAsia="仿宋_GB2312"/>
          <w:sz w:val="32"/>
          <w:szCs w:val="32"/>
        </w:rPr>
      </w:pPr>
      <w:r>
        <w:rPr>
          <w:rFonts w:eastAsia="仿宋_GB2312"/>
          <w:sz w:val="32"/>
          <w:szCs w:val="32"/>
        </w:rPr>
        <w:t>三、该项目运营后，化学需氧量</w:t>
      </w:r>
      <w:r>
        <w:rPr>
          <w:rFonts w:hint="eastAsia" w:eastAsia="仿宋_GB2312"/>
          <w:sz w:val="32"/>
          <w:szCs w:val="32"/>
        </w:rPr>
        <w:t>排放量为0.186</w:t>
      </w:r>
      <w:r>
        <w:rPr>
          <w:rFonts w:hint="eastAsia" w:ascii="仿宋_GB2312" w:hAnsi="仿宋_GB2312" w:eastAsia="仿宋_GB2312" w:cs="仿宋_GB2312"/>
          <w:sz w:val="32"/>
          <w:szCs w:val="32"/>
        </w:rPr>
        <w:t>吨/年</w:t>
      </w:r>
      <w:r>
        <w:rPr>
          <w:rFonts w:eastAsia="仿宋_GB2312"/>
          <w:sz w:val="32"/>
          <w:szCs w:val="32"/>
        </w:rPr>
        <w:t>、氨氮</w:t>
      </w:r>
      <w:r>
        <w:rPr>
          <w:rFonts w:hint="eastAsia" w:eastAsia="仿宋_GB2312"/>
          <w:sz w:val="32"/>
          <w:szCs w:val="32"/>
        </w:rPr>
        <w:t>排放量为</w:t>
      </w:r>
      <w:r>
        <w:rPr>
          <w:rFonts w:eastAsia="仿宋_GB2312"/>
          <w:sz w:val="32"/>
          <w:szCs w:val="32"/>
        </w:rPr>
        <w:t>0.0232</w:t>
      </w:r>
      <w:r>
        <w:rPr>
          <w:rFonts w:hint="eastAsia" w:ascii="仿宋_GB2312" w:hAnsi="仿宋_GB2312" w:eastAsia="仿宋_GB2312" w:cs="仿宋_GB2312"/>
          <w:sz w:val="32"/>
          <w:szCs w:val="32"/>
        </w:rPr>
        <w:t>吨/年</w:t>
      </w:r>
      <w:r>
        <w:rPr>
          <w:rFonts w:eastAsia="仿宋_GB2312"/>
          <w:sz w:val="32"/>
          <w:szCs w:val="32"/>
        </w:rPr>
        <w:t>、</w:t>
      </w:r>
      <w:r>
        <w:rPr>
          <w:rFonts w:hint="eastAsia" w:eastAsia="仿宋_GB2312"/>
          <w:sz w:val="32"/>
          <w:szCs w:val="32"/>
        </w:rPr>
        <w:t>氮氧化物排放量为</w:t>
      </w:r>
      <w:r>
        <w:rPr>
          <w:rFonts w:eastAsia="仿宋_GB2312"/>
          <w:sz w:val="32"/>
          <w:szCs w:val="32"/>
        </w:rPr>
        <w:t>0.</w:t>
      </w:r>
      <w:r>
        <w:rPr>
          <w:rFonts w:hint="eastAsia" w:eastAsia="仿宋_GB2312"/>
          <w:sz w:val="32"/>
          <w:szCs w:val="32"/>
        </w:rPr>
        <w:t>168</w:t>
      </w:r>
      <w:r>
        <w:rPr>
          <w:rFonts w:hint="eastAsia" w:ascii="仿宋_GB2312" w:hAnsi="仿宋_GB2312" w:eastAsia="仿宋_GB2312" w:cs="仿宋_GB2312"/>
          <w:sz w:val="32"/>
          <w:szCs w:val="32"/>
        </w:rPr>
        <w:t>吨/年</w:t>
      </w:r>
      <w:r>
        <w:rPr>
          <w:rFonts w:eastAsia="仿宋_GB2312"/>
          <w:sz w:val="32"/>
          <w:szCs w:val="32"/>
        </w:rPr>
        <w:t>，</w:t>
      </w:r>
      <w:r>
        <w:rPr>
          <w:rFonts w:hint="eastAsia" w:ascii="仿宋_GB2312" w:eastAsia="仿宋_GB2312"/>
          <w:sz w:val="32"/>
          <w:szCs w:val="32"/>
        </w:rPr>
        <w:t>其总量控制指标按德阳市广汉生态环境局总量文件执行。</w:t>
      </w:r>
    </w:p>
    <w:p>
      <w:pPr>
        <w:spacing w:line="520" w:lineRule="exact"/>
        <w:ind w:firstLine="640" w:firstLineChars="200"/>
        <w:rPr>
          <w:rFonts w:eastAsia="仿宋_GB2312"/>
          <w:sz w:val="32"/>
          <w:szCs w:val="32"/>
        </w:rPr>
      </w:pPr>
      <w:r>
        <w:rPr>
          <w:rFonts w:eastAsia="仿宋_GB2312"/>
          <w:sz w:val="32"/>
          <w:szCs w:val="32"/>
        </w:rPr>
        <w:t>四、项目开工建设及投入运营前，应依法完备其他行政许可手续。</w:t>
      </w:r>
    </w:p>
    <w:p>
      <w:pPr>
        <w:spacing w:line="520" w:lineRule="exact"/>
        <w:ind w:firstLine="640" w:firstLineChars="200"/>
        <w:rPr>
          <w:rFonts w:eastAsia="仿宋_GB2312"/>
          <w:sz w:val="32"/>
          <w:szCs w:val="32"/>
        </w:rPr>
      </w:pPr>
      <w:r>
        <w:rPr>
          <w:rFonts w:eastAsia="仿宋_GB2312"/>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pPr>
        <w:spacing w:line="520" w:lineRule="exact"/>
        <w:ind w:firstLine="640" w:firstLineChars="200"/>
        <w:rPr>
          <w:rFonts w:ascii="仿宋_GB2312" w:hAnsi="仿宋_GB2312" w:eastAsia="仿宋_GB2312" w:cs="仿宋_GB2312"/>
          <w:sz w:val="32"/>
          <w:szCs w:val="32"/>
        </w:rPr>
      </w:pPr>
      <w:r>
        <w:rPr>
          <w:rFonts w:eastAsia="仿宋_GB2312"/>
          <w:sz w:val="32"/>
          <w:szCs w:val="32"/>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w:t>
      </w:r>
      <w:r>
        <w:rPr>
          <w:rFonts w:hint="eastAsia" w:ascii="仿宋_GB2312" w:hAnsi="仿宋_GB2312" w:eastAsia="仿宋_GB2312" w:cs="仿宋_GB2312"/>
          <w:sz w:val="32"/>
          <w:szCs w:val="32"/>
        </w:rPr>
        <w:t>行“三同时”</w:t>
      </w:r>
      <w:r>
        <w:rPr>
          <w:rFonts w:eastAsia="仿宋_GB2312"/>
          <w:sz w:val="32"/>
          <w:szCs w:val="32"/>
        </w:rPr>
        <w:t>自主验</w:t>
      </w:r>
      <w:r>
        <w:rPr>
          <w:rFonts w:hint="eastAsia" w:ascii="仿宋_GB2312" w:hAnsi="仿宋_GB2312" w:eastAsia="仿宋_GB2312" w:cs="仿宋_GB2312"/>
          <w:sz w:val="32"/>
          <w:szCs w:val="32"/>
        </w:rPr>
        <w:t>收。建设项目防治污染的设施应当符合经批准的环境影响评价文件的要求，不得擅自拆除或者闲置。</w:t>
      </w:r>
    </w:p>
    <w:p>
      <w:pPr>
        <w:spacing w:line="520" w:lineRule="exact"/>
        <w:ind w:firstLine="640" w:firstLineChars="200"/>
        <w:rPr>
          <w:rFonts w:eastAsia="仿宋_GB2312"/>
          <w:sz w:val="32"/>
          <w:szCs w:val="32"/>
        </w:rPr>
      </w:pPr>
      <w:r>
        <w:rPr>
          <w:rFonts w:hint="eastAsia" w:ascii="仿宋_GB2312" w:hAnsi="仿宋_GB2312" w:eastAsia="仿宋_GB2312" w:cs="仿宋_GB2312"/>
          <w:sz w:val="32"/>
          <w:szCs w:val="32"/>
        </w:rPr>
        <w:t>七、该项目的“三同时”监督检查、排污许可</w:t>
      </w:r>
      <w:r>
        <w:rPr>
          <w:rFonts w:eastAsia="仿宋_GB2312"/>
          <w:sz w:val="32"/>
          <w:szCs w:val="32"/>
        </w:rPr>
        <w:t>监管、日常环境保护监管工作由德阳市广汉生态环境保护综合行政执法大队负责，并接受各级生态环境部门的监督管理。</w:t>
      </w:r>
    </w:p>
    <w:p>
      <w:pPr>
        <w:spacing w:line="500" w:lineRule="exact"/>
        <w:ind w:right="241"/>
        <w:jc w:val="center"/>
        <w:rPr>
          <w:rFonts w:eastAsia="仿宋_GB2312"/>
          <w:sz w:val="32"/>
          <w:szCs w:val="32"/>
        </w:rPr>
      </w:pPr>
    </w:p>
    <w:p>
      <w:pPr>
        <w:spacing w:line="500" w:lineRule="exact"/>
        <w:ind w:right="241"/>
        <w:jc w:val="center"/>
        <w:rPr>
          <w:rFonts w:eastAsia="仿宋_GB2312"/>
          <w:sz w:val="32"/>
          <w:szCs w:val="32"/>
        </w:rPr>
      </w:pPr>
    </w:p>
    <w:p>
      <w:pPr>
        <w:spacing w:line="500" w:lineRule="exact"/>
        <w:ind w:right="241"/>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 xml:space="preserve">德阳市生态环境局           </w:t>
      </w:r>
    </w:p>
    <w:p>
      <w:pPr>
        <w:tabs>
          <w:tab w:val="left" w:pos="2175"/>
        </w:tabs>
        <w:spacing w:line="500" w:lineRule="exact"/>
        <w:ind w:right="461"/>
        <w:jc w:val="center"/>
        <w:rPr>
          <w:rFonts w:eastAsia="仿宋_GB2312"/>
        </w:rPr>
      </w:pPr>
      <w:r>
        <w:rPr>
          <w:rFonts w:hint="eastAsia" w:eastAsia="仿宋_GB2312"/>
          <w:spacing w:val="-20"/>
          <w:sz w:val="32"/>
          <w:szCs w:val="32"/>
          <w:lang w:val="en-US" w:eastAsia="zh-CN"/>
        </w:rPr>
        <w:t xml:space="preserve">                                        </w:t>
      </w:r>
      <w:r>
        <w:rPr>
          <w:rFonts w:hint="eastAsia" w:eastAsia="仿宋_GB2312"/>
          <w:spacing w:val="-20"/>
          <w:sz w:val="32"/>
          <w:szCs w:val="32"/>
        </w:rPr>
        <w:t>2024</w:t>
      </w:r>
      <w:r>
        <w:rPr>
          <w:rFonts w:eastAsia="仿宋_GB2312"/>
          <w:spacing w:val="-20"/>
          <w:sz w:val="32"/>
          <w:szCs w:val="32"/>
        </w:rPr>
        <w:t>年</w:t>
      </w:r>
      <w:r>
        <w:rPr>
          <w:rFonts w:hint="eastAsia" w:eastAsia="仿宋_GB2312"/>
          <w:spacing w:val="-20"/>
          <w:sz w:val="32"/>
          <w:szCs w:val="32"/>
        </w:rPr>
        <w:t>1</w:t>
      </w:r>
      <w:r>
        <w:rPr>
          <w:rFonts w:eastAsia="仿宋_GB2312"/>
          <w:spacing w:val="-20"/>
          <w:sz w:val="32"/>
          <w:szCs w:val="32"/>
        </w:rPr>
        <w:t>月</w:t>
      </w:r>
      <w:r>
        <w:rPr>
          <w:rFonts w:hint="eastAsia" w:eastAsia="仿宋_GB2312"/>
          <w:spacing w:val="-20"/>
          <w:sz w:val="32"/>
          <w:szCs w:val="32"/>
          <w:lang w:val="en-US" w:eastAsia="zh-CN"/>
        </w:rPr>
        <w:t>31</w:t>
      </w:r>
      <w:r>
        <w:rPr>
          <w:rFonts w:eastAsia="仿宋_GB2312"/>
          <w:spacing w:val="-20"/>
          <w:sz w:val="32"/>
          <w:szCs w:val="32"/>
        </w:rPr>
        <w:t xml:space="preserve">日 </w:t>
      </w:r>
      <w:bookmarkStart w:id="0" w:name="_GoBack"/>
      <w:bookmarkEnd w:id="0"/>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joinstyle="miter"/>
          <v:imagedata o:title=""/>
          <o:lock v:ext="edit"/>
          <v:textbox inset="0mm,0mm,0mm,0mm" style="mso-fit-shape-to-text:t;">
            <w:txbxContent>
              <w:p>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mMyZmM0YWVjYTAwZWEyYjcxYzFkODI5YzUyZmQzMTkifQ=="/>
  </w:docVars>
  <w:rsids>
    <w:rsidRoot w:val="0003179C"/>
    <w:rsid w:val="00005ADC"/>
    <w:rsid w:val="00011F7F"/>
    <w:rsid w:val="00021F8C"/>
    <w:rsid w:val="0002413B"/>
    <w:rsid w:val="00024CD3"/>
    <w:rsid w:val="0003179C"/>
    <w:rsid w:val="00032A19"/>
    <w:rsid w:val="000372EE"/>
    <w:rsid w:val="00053344"/>
    <w:rsid w:val="00056A62"/>
    <w:rsid w:val="00063FB5"/>
    <w:rsid w:val="000651B5"/>
    <w:rsid w:val="00080C99"/>
    <w:rsid w:val="000830CB"/>
    <w:rsid w:val="000857E7"/>
    <w:rsid w:val="000A0022"/>
    <w:rsid w:val="000A00A7"/>
    <w:rsid w:val="000A02AD"/>
    <w:rsid w:val="000A193C"/>
    <w:rsid w:val="000A549E"/>
    <w:rsid w:val="000C0A77"/>
    <w:rsid w:val="000C274D"/>
    <w:rsid w:val="000C3931"/>
    <w:rsid w:val="000D11FF"/>
    <w:rsid w:val="000D2139"/>
    <w:rsid w:val="000D5628"/>
    <w:rsid w:val="000D7B29"/>
    <w:rsid w:val="000E1021"/>
    <w:rsid w:val="000E2D2C"/>
    <w:rsid w:val="000E63F7"/>
    <w:rsid w:val="000F39BE"/>
    <w:rsid w:val="000F62F6"/>
    <w:rsid w:val="000F7698"/>
    <w:rsid w:val="001005A9"/>
    <w:rsid w:val="001071B7"/>
    <w:rsid w:val="00130DB0"/>
    <w:rsid w:val="00133D26"/>
    <w:rsid w:val="001368A7"/>
    <w:rsid w:val="00150925"/>
    <w:rsid w:val="00157DF1"/>
    <w:rsid w:val="00160EEB"/>
    <w:rsid w:val="00161E2D"/>
    <w:rsid w:val="00164D44"/>
    <w:rsid w:val="00166DBC"/>
    <w:rsid w:val="00171716"/>
    <w:rsid w:val="00171B10"/>
    <w:rsid w:val="001731CE"/>
    <w:rsid w:val="0018347B"/>
    <w:rsid w:val="00183773"/>
    <w:rsid w:val="00184BCE"/>
    <w:rsid w:val="0018568F"/>
    <w:rsid w:val="00191709"/>
    <w:rsid w:val="001927D3"/>
    <w:rsid w:val="00192B65"/>
    <w:rsid w:val="00195F9C"/>
    <w:rsid w:val="001A402C"/>
    <w:rsid w:val="001A5E72"/>
    <w:rsid w:val="001A61A6"/>
    <w:rsid w:val="001A771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413E9"/>
    <w:rsid w:val="00253ABC"/>
    <w:rsid w:val="00254D5D"/>
    <w:rsid w:val="002623A6"/>
    <w:rsid w:val="00272F9A"/>
    <w:rsid w:val="0027760F"/>
    <w:rsid w:val="0028364E"/>
    <w:rsid w:val="00292D52"/>
    <w:rsid w:val="002A4AF5"/>
    <w:rsid w:val="002A4BFB"/>
    <w:rsid w:val="002A631D"/>
    <w:rsid w:val="002B47F6"/>
    <w:rsid w:val="002C4E56"/>
    <w:rsid w:val="002C751B"/>
    <w:rsid w:val="002C7789"/>
    <w:rsid w:val="002D2090"/>
    <w:rsid w:val="002D4FF7"/>
    <w:rsid w:val="002E3E7F"/>
    <w:rsid w:val="002E721F"/>
    <w:rsid w:val="002F3583"/>
    <w:rsid w:val="002F75F0"/>
    <w:rsid w:val="00300D8F"/>
    <w:rsid w:val="00301EAB"/>
    <w:rsid w:val="00303D7F"/>
    <w:rsid w:val="003131F1"/>
    <w:rsid w:val="00315664"/>
    <w:rsid w:val="00316A38"/>
    <w:rsid w:val="00317912"/>
    <w:rsid w:val="00321D4A"/>
    <w:rsid w:val="0034116A"/>
    <w:rsid w:val="0035199D"/>
    <w:rsid w:val="00363B27"/>
    <w:rsid w:val="0036593D"/>
    <w:rsid w:val="003667F6"/>
    <w:rsid w:val="00367BA2"/>
    <w:rsid w:val="00371E41"/>
    <w:rsid w:val="00375001"/>
    <w:rsid w:val="00381040"/>
    <w:rsid w:val="00382225"/>
    <w:rsid w:val="003830EB"/>
    <w:rsid w:val="003946C3"/>
    <w:rsid w:val="003A0501"/>
    <w:rsid w:val="003A1BBE"/>
    <w:rsid w:val="003A3C30"/>
    <w:rsid w:val="003A4F78"/>
    <w:rsid w:val="003B0FFD"/>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330E"/>
    <w:rsid w:val="00447799"/>
    <w:rsid w:val="0046380B"/>
    <w:rsid w:val="00475526"/>
    <w:rsid w:val="004838AF"/>
    <w:rsid w:val="00486136"/>
    <w:rsid w:val="00486C34"/>
    <w:rsid w:val="004927C5"/>
    <w:rsid w:val="00496862"/>
    <w:rsid w:val="004A5E49"/>
    <w:rsid w:val="004B74CD"/>
    <w:rsid w:val="004B79F6"/>
    <w:rsid w:val="004D1FFC"/>
    <w:rsid w:val="004D35EB"/>
    <w:rsid w:val="004E59DC"/>
    <w:rsid w:val="004E7DE9"/>
    <w:rsid w:val="004F2936"/>
    <w:rsid w:val="004F666B"/>
    <w:rsid w:val="004F6CC4"/>
    <w:rsid w:val="00504D52"/>
    <w:rsid w:val="00506EA3"/>
    <w:rsid w:val="00506EE2"/>
    <w:rsid w:val="00512B6C"/>
    <w:rsid w:val="00513162"/>
    <w:rsid w:val="00516C3A"/>
    <w:rsid w:val="00522ED3"/>
    <w:rsid w:val="00530EE1"/>
    <w:rsid w:val="005328A0"/>
    <w:rsid w:val="00541AD0"/>
    <w:rsid w:val="0054605B"/>
    <w:rsid w:val="0056221D"/>
    <w:rsid w:val="0056688D"/>
    <w:rsid w:val="0057102C"/>
    <w:rsid w:val="00572DE9"/>
    <w:rsid w:val="00587C06"/>
    <w:rsid w:val="005A0ECE"/>
    <w:rsid w:val="005A0FB6"/>
    <w:rsid w:val="005A25EC"/>
    <w:rsid w:val="005A5B5E"/>
    <w:rsid w:val="005A68D8"/>
    <w:rsid w:val="005A6D4B"/>
    <w:rsid w:val="005C28E9"/>
    <w:rsid w:val="005C2F71"/>
    <w:rsid w:val="005C7677"/>
    <w:rsid w:val="005E34CF"/>
    <w:rsid w:val="005E5257"/>
    <w:rsid w:val="005F2E62"/>
    <w:rsid w:val="00602205"/>
    <w:rsid w:val="006043F1"/>
    <w:rsid w:val="006065ED"/>
    <w:rsid w:val="00607009"/>
    <w:rsid w:val="00614605"/>
    <w:rsid w:val="00616979"/>
    <w:rsid w:val="00636CA3"/>
    <w:rsid w:val="006374F5"/>
    <w:rsid w:val="00637AA3"/>
    <w:rsid w:val="00644584"/>
    <w:rsid w:val="00645A49"/>
    <w:rsid w:val="00647CE5"/>
    <w:rsid w:val="00651FC6"/>
    <w:rsid w:val="00656C14"/>
    <w:rsid w:val="006607ED"/>
    <w:rsid w:val="006630E2"/>
    <w:rsid w:val="00663FB5"/>
    <w:rsid w:val="00671556"/>
    <w:rsid w:val="00674F59"/>
    <w:rsid w:val="00693AAA"/>
    <w:rsid w:val="006A0A56"/>
    <w:rsid w:val="006A2B49"/>
    <w:rsid w:val="006A4599"/>
    <w:rsid w:val="006B164E"/>
    <w:rsid w:val="006B1D9E"/>
    <w:rsid w:val="006B323D"/>
    <w:rsid w:val="006B4EAA"/>
    <w:rsid w:val="006C0005"/>
    <w:rsid w:val="006C0A10"/>
    <w:rsid w:val="006C5D86"/>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E03"/>
    <w:rsid w:val="007275CC"/>
    <w:rsid w:val="00735699"/>
    <w:rsid w:val="00743707"/>
    <w:rsid w:val="00750A74"/>
    <w:rsid w:val="0076077A"/>
    <w:rsid w:val="00765E43"/>
    <w:rsid w:val="0076693B"/>
    <w:rsid w:val="00766D16"/>
    <w:rsid w:val="00773916"/>
    <w:rsid w:val="007756C4"/>
    <w:rsid w:val="00775F67"/>
    <w:rsid w:val="00780F68"/>
    <w:rsid w:val="00781872"/>
    <w:rsid w:val="00782501"/>
    <w:rsid w:val="00792BB7"/>
    <w:rsid w:val="00792C4A"/>
    <w:rsid w:val="00793870"/>
    <w:rsid w:val="007966D2"/>
    <w:rsid w:val="007C0552"/>
    <w:rsid w:val="007C3414"/>
    <w:rsid w:val="007C36C0"/>
    <w:rsid w:val="007C4CF8"/>
    <w:rsid w:val="007C7858"/>
    <w:rsid w:val="007D03F5"/>
    <w:rsid w:val="007D783C"/>
    <w:rsid w:val="007E4AB6"/>
    <w:rsid w:val="007E4F05"/>
    <w:rsid w:val="007F13A8"/>
    <w:rsid w:val="007F2569"/>
    <w:rsid w:val="007F6C6F"/>
    <w:rsid w:val="007F7A81"/>
    <w:rsid w:val="00803068"/>
    <w:rsid w:val="00807FE9"/>
    <w:rsid w:val="0081531F"/>
    <w:rsid w:val="00817CC3"/>
    <w:rsid w:val="00823594"/>
    <w:rsid w:val="008254A4"/>
    <w:rsid w:val="00833747"/>
    <w:rsid w:val="00837A60"/>
    <w:rsid w:val="0084211C"/>
    <w:rsid w:val="008461BD"/>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F34D5"/>
    <w:rsid w:val="008F6429"/>
    <w:rsid w:val="0090131A"/>
    <w:rsid w:val="00901F28"/>
    <w:rsid w:val="00903F9A"/>
    <w:rsid w:val="0090736C"/>
    <w:rsid w:val="00916870"/>
    <w:rsid w:val="00917771"/>
    <w:rsid w:val="0091798D"/>
    <w:rsid w:val="00917AC2"/>
    <w:rsid w:val="00922494"/>
    <w:rsid w:val="00922B09"/>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45F2"/>
    <w:rsid w:val="009A5B64"/>
    <w:rsid w:val="009B4EF0"/>
    <w:rsid w:val="009B530D"/>
    <w:rsid w:val="009B55AB"/>
    <w:rsid w:val="009B66C0"/>
    <w:rsid w:val="009B6FEB"/>
    <w:rsid w:val="009C1BFC"/>
    <w:rsid w:val="009C337D"/>
    <w:rsid w:val="009C43B0"/>
    <w:rsid w:val="009D1CD1"/>
    <w:rsid w:val="009D2CAD"/>
    <w:rsid w:val="009E13CF"/>
    <w:rsid w:val="009E6525"/>
    <w:rsid w:val="00A05315"/>
    <w:rsid w:val="00A27714"/>
    <w:rsid w:val="00A313C1"/>
    <w:rsid w:val="00A31B4D"/>
    <w:rsid w:val="00A40D59"/>
    <w:rsid w:val="00A52EAF"/>
    <w:rsid w:val="00A5690E"/>
    <w:rsid w:val="00A636F6"/>
    <w:rsid w:val="00A671AB"/>
    <w:rsid w:val="00A67EB4"/>
    <w:rsid w:val="00A70B8F"/>
    <w:rsid w:val="00A7100B"/>
    <w:rsid w:val="00A77388"/>
    <w:rsid w:val="00A81950"/>
    <w:rsid w:val="00A8281F"/>
    <w:rsid w:val="00A913C7"/>
    <w:rsid w:val="00A95ECA"/>
    <w:rsid w:val="00A967E4"/>
    <w:rsid w:val="00A97CE0"/>
    <w:rsid w:val="00AA0C3A"/>
    <w:rsid w:val="00AA57E0"/>
    <w:rsid w:val="00AA73C3"/>
    <w:rsid w:val="00AC7360"/>
    <w:rsid w:val="00AD6398"/>
    <w:rsid w:val="00AD76B1"/>
    <w:rsid w:val="00AE659E"/>
    <w:rsid w:val="00AE6615"/>
    <w:rsid w:val="00B151E5"/>
    <w:rsid w:val="00B17A40"/>
    <w:rsid w:val="00B20FF1"/>
    <w:rsid w:val="00B3207D"/>
    <w:rsid w:val="00B350AE"/>
    <w:rsid w:val="00B37DCD"/>
    <w:rsid w:val="00B418D6"/>
    <w:rsid w:val="00B50A65"/>
    <w:rsid w:val="00B523DF"/>
    <w:rsid w:val="00B5455B"/>
    <w:rsid w:val="00B57265"/>
    <w:rsid w:val="00B60A36"/>
    <w:rsid w:val="00B60E49"/>
    <w:rsid w:val="00B62BAB"/>
    <w:rsid w:val="00B64E31"/>
    <w:rsid w:val="00B67454"/>
    <w:rsid w:val="00B67CAC"/>
    <w:rsid w:val="00B74ACB"/>
    <w:rsid w:val="00B811C2"/>
    <w:rsid w:val="00B8191C"/>
    <w:rsid w:val="00BA25DD"/>
    <w:rsid w:val="00BA2DBC"/>
    <w:rsid w:val="00BA4C19"/>
    <w:rsid w:val="00BB28FB"/>
    <w:rsid w:val="00BB4D74"/>
    <w:rsid w:val="00BB6796"/>
    <w:rsid w:val="00BC0511"/>
    <w:rsid w:val="00BE174A"/>
    <w:rsid w:val="00C03F4A"/>
    <w:rsid w:val="00C04433"/>
    <w:rsid w:val="00C05BCA"/>
    <w:rsid w:val="00C07820"/>
    <w:rsid w:val="00C10ED7"/>
    <w:rsid w:val="00C17B0E"/>
    <w:rsid w:val="00C21343"/>
    <w:rsid w:val="00C26B2F"/>
    <w:rsid w:val="00C365BC"/>
    <w:rsid w:val="00C47486"/>
    <w:rsid w:val="00C52019"/>
    <w:rsid w:val="00C60E30"/>
    <w:rsid w:val="00C641EF"/>
    <w:rsid w:val="00C741CB"/>
    <w:rsid w:val="00C74DFB"/>
    <w:rsid w:val="00C835B0"/>
    <w:rsid w:val="00C90F36"/>
    <w:rsid w:val="00C924A8"/>
    <w:rsid w:val="00CA29B5"/>
    <w:rsid w:val="00CB513C"/>
    <w:rsid w:val="00CD32FF"/>
    <w:rsid w:val="00CD425C"/>
    <w:rsid w:val="00CD4EF6"/>
    <w:rsid w:val="00CD56A0"/>
    <w:rsid w:val="00CD642F"/>
    <w:rsid w:val="00CE4574"/>
    <w:rsid w:val="00CE4804"/>
    <w:rsid w:val="00CF0C44"/>
    <w:rsid w:val="00CF3363"/>
    <w:rsid w:val="00CF7388"/>
    <w:rsid w:val="00D00522"/>
    <w:rsid w:val="00D07917"/>
    <w:rsid w:val="00D3039F"/>
    <w:rsid w:val="00D36520"/>
    <w:rsid w:val="00D43667"/>
    <w:rsid w:val="00D63516"/>
    <w:rsid w:val="00D748BA"/>
    <w:rsid w:val="00D76710"/>
    <w:rsid w:val="00D769E2"/>
    <w:rsid w:val="00D8387C"/>
    <w:rsid w:val="00D84CD1"/>
    <w:rsid w:val="00D9075C"/>
    <w:rsid w:val="00D93FEF"/>
    <w:rsid w:val="00D97F76"/>
    <w:rsid w:val="00DA3EA5"/>
    <w:rsid w:val="00DB6CAC"/>
    <w:rsid w:val="00DD38B9"/>
    <w:rsid w:val="00DE1261"/>
    <w:rsid w:val="00DE18A0"/>
    <w:rsid w:val="00DE2BDA"/>
    <w:rsid w:val="00DE33B0"/>
    <w:rsid w:val="00DE711C"/>
    <w:rsid w:val="00DF15F3"/>
    <w:rsid w:val="00DF2F09"/>
    <w:rsid w:val="00DF7285"/>
    <w:rsid w:val="00E1330F"/>
    <w:rsid w:val="00E26603"/>
    <w:rsid w:val="00E30271"/>
    <w:rsid w:val="00E3069B"/>
    <w:rsid w:val="00E311F8"/>
    <w:rsid w:val="00E31637"/>
    <w:rsid w:val="00E36333"/>
    <w:rsid w:val="00E37650"/>
    <w:rsid w:val="00E441AB"/>
    <w:rsid w:val="00E476BA"/>
    <w:rsid w:val="00E50700"/>
    <w:rsid w:val="00E65EFF"/>
    <w:rsid w:val="00E7067C"/>
    <w:rsid w:val="00E75C07"/>
    <w:rsid w:val="00E821B0"/>
    <w:rsid w:val="00E97C47"/>
    <w:rsid w:val="00EA518A"/>
    <w:rsid w:val="00EB51BB"/>
    <w:rsid w:val="00ED0085"/>
    <w:rsid w:val="00ED3116"/>
    <w:rsid w:val="00EE0357"/>
    <w:rsid w:val="00EE1556"/>
    <w:rsid w:val="00EE1700"/>
    <w:rsid w:val="00EE67AD"/>
    <w:rsid w:val="00EE7AE6"/>
    <w:rsid w:val="00EF5BA2"/>
    <w:rsid w:val="00EF6140"/>
    <w:rsid w:val="00EF72D6"/>
    <w:rsid w:val="00F00BCE"/>
    <w:rsid w:val="00F01DC2"/>
    <w:rsid w:val="00F0557A"/>
    <w:rsid w:val="00F10906"/>
    <w:rsid w:val="00F124C1"/>
    <w:rsid w:val="00F1473F"/>
    <w:rsid w:val="00F25F38"/>
    <w:rsid w:val="00F27497"/>
    <w:rsid w:val="00F313D7"/>
    <w:rsid w:val="00F33D78"/>
    <w:rsid w:val="00F362A5"/>
    <w:rsid w:val="00F37363"/>
    <w:rsid w:val="00F47A2C"/>
    <w:rsid w:val="00F52C81"/>
    <w:rsid w:val="00F620E8"/>
    <w:rsid w:val="00F64335"/>
    <w:rsid w:val="00F65B80"/>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E052B"/>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DB240E"/>
    <w:rsid w:val="03F35905"/>
    <w:rsid w:val="03FF434E"/>
    <w:rsid w:val="04027450"/>
    <w:rsid w:val="041B0A5C"/>
    <w:rsid w:val="045A77D7"/>
    <w:rsid w:val="04642403"/>
    <w:rsid w:val="046643CE"/>
    <w:rsid w:val="04815B03"/>
    <w:rsid w:val="04996800"/>
    <w:rsid w:val="049C1B9D"/>
    <w:rsid w:val="04A9250C"/>
    <w:rsid w:val="04C342ED"/>
    <w:rsid w:val="04C76E69"/>
    <w:rsid w:val="04E23328"/>
    <w:rsid w:val="051C2E67"/>
    <w:rsid w:val="05235E1B"/>
    <w:rsid w:val="05393890"/>
    <w:rsid w:val="053E0EA6"/>
    <w:rsid w:val="05410997"/>
    <w:rsid w:val="05412745"/>
    <w:rsid w:val="05445A00"/>
    <w:rsid w:val="05502988"/>
    <w:rsid w:val="05597A8E"/>
    <w:rsid w:val="055E6E53"/>
    <w:rsid w:val="056E57A1"/>
    <w:rsid w:val="0575419C"/>
    <w:rsid w:val="05760640"/>
    <w:rsid w:val="057E12A3"/>
    <w:rsid w:val="058C032C"/>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B43CF"/>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04EE6"/>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625CA6"/>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1F688F"/>
    <w:rsid w:val="3B343BD6"/>
    <w:rsid w:val="3B3F4A55"/>
    <w:rsid w:val="3B4363F3"/>
    <w:rsid w:val="3B447E14"/>
    <w:rsid w:val="3B4A2945"/>
    <w:rsid w:val="3B4D537C"/>
    <w:rsid w:val="3B506C62"/>
    <w:rsid w:val="3B516536"/>
    <w:rsid w:val="3B545EC1"/>
    <w:rsid w:val="3B567FF1"/>
    <w:rsid w:val="3B583D69"/>
    <w:rsid w:val="3B710987"/>
    <w:rsid w:val="3B9C6B79"/>
    <w:rsid w:val="3BA124B2"/>
    <w:rsid w:val="3BBA0580"/>
    <w:rsid w:val="3BC136BC"/>
    <w:rsid w:val="3BC767F9"/>
    <w:rsid w:val="3BC907C3"/>
    <w:rsid w:val="3BD03C07"/>
    <w:rsid w:val="3BD63F95"/>
    <w:rsid w:val="3BDF7FE6"/>
    <w:rsid w:val="3C13464F"/>
    <w:rsid w:val="3C173922"/>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A42E21"/>
    <w:rsid w:val="3EAA3332"/>
    <w:rsid w:val="3ED5122D"/>
    <w:rsid w:val="3ED55DA9"/>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585D70"/>
    <w:rsid w:val="436231D7"/>
    <w:rsid w:val="43670FED"/>
    <w:rsid w:val="43827BD5"/>
    <w:rsid w:val="438374A9"/>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51508A"/>
    <w:rsid w:val="51542485"/>
    <w:rsid w:val="515D57DD"/>
    <w:rsid w:val="51791EEB"/>
    <w:rsid w:val="5180327A"/>
    <w:rsid w:val="518409E6"/>
    <w:rsid w:val="51877A52"/>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B4488"/>
    <w:rsid w:val="5A1D3D5C"/>
    <w:rsid w:val="5A3A4A65"/>
    <w:rsid w:val="5A5E7287"/>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B81068"/>
    <w:rsid w:val="62C4680B"/>
    <w:rsid w:val="62D91625"/>
    <w:rsid w:val="62DB0C58"/>
    <w:rsid w:val="630C2E67"/>
    <w:rsid w:val="630F26B0"/>
    <w:rsid w:val="632F7857"/>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7473F9"/>
    <w:rsid w:val="6687220D"/>
    <w:rsid w:val="66884C53"/>
    <w:rsid w:val="668D0B69"/>
    <w:rsid w:val="66A01F9C"/>
    <w:rsid w:val="66AD6467"/>
    <w:rsid w:val="66C0263F"/>
    <w:rsid w:val="66C50F54"/>
    <w:rsid w:val="66C67529"/>
    <w:rsid w:val="66D659BE"/>
    <w:rsid w:val="66E75E1D"/>
    <w:rsid w:val="66FE6CC3"/>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5643C1"/>
    <w:rsid w:val="6B67752D"/>
    <w:rsid w:val="6B704751"/>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autoRedefine/>
    <w:qFormat/>
    <w:uiPriority w:val="0"/>
    <w:rPr>
      <w:rFonts w:eastAsia="宋体"/>
      <w:sz w:val="24"/>
      <w:szCs w:val="24"/>
      <w:lang w:val="en-US" w:eastAsia="zh-CN" w:bidi="ar-SA"/>
    </w:rPr>
  </w:style>
  <w:style w:type="paragraph" w:customStyle="1" w:styleId="15">
    <w:name w:val="标准正文"/>
    <w:link w:val="14"/>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autoRedefine/>
    <w:qFormat/>
    <w:uiPriority w:val="0"/>
    <w:rPr>
      <w:rFonts w:eastAsia="宋体" w:cs="宋体"/>
      <w:kern w:val="2"/>
      <w:sz w:val="28"/>
      <w:lang w:val="en-US" w:eastAsia="zh-CN" w:bidi="ar-SA"/>
    </w:rPr>
  </w:style>
  <w:style w:type="paragraph" w:customStyle="1" w:styleId="17">
    <w:name w:val="正文四号"/>
    <w:basedOn w:val="1"/>
    <w:link w:val="16"/>
    <w:autoRedefine/>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FB945-C0BB-4B42-A23F-6D2554C3E6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2329</Words>
  <Characters>152</Characters>
  <Lines>1</Lines>
  <Paragraphs>4</Paragraphs>
  <TotalTime>71</TotalTime>
  <ScaleCrop>false</ScaleCrop>
  <LinksUpToDate>false</LinksUpToDate>
  <CharactersWithSpaces>2477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2019-09-27T06:17:00Z</dcterms:created>
  <dc:creator>walkinnet</dc:creator>
  <cp:lastModifiedBy>Lenovo</cp:lastModifiedBy>
  <cp:lastPrinted>2024-01-22T03:00:00Z</cp:lastPrinted>
  <dcterms:modified xsi:type="dcterms:W3CDTF">2024-01-31T01:46:31Z</dcterms:modified>
  <dc:subject>关于四川创智森悦机械有限公司汽车零部件及配件加工项目《环境影响报告表》的批复</dc:subject>
  <dc:title>德环审批[2023]号</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E9CC64D653CB4AB994764D3E8183BDFB_13</vt:lpwstr>
  </property>
</Properties>
</file>