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第三章 招标项目技术、服务、商务及其他要求</w:t>
      </w:r>
    </w:p>
    <w:p>
      <w:pPr>
        <w:pStyle w:val="4"/>
        <w:ind w:firstLine="480"/>
      </w:pPr>
      <w: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ind w:firstLine="480"/>
      </w:pPr>
      <w:r>
        <w:t xml:space="preserve"> （注：当采购包的评标方法为最低评标价法时带“★”的参数需求为实质性要求，供应商必须响应并满足的参数需求，采购人、采购代理机构应当根据项目实际需求合理设定，并明确具体要求。）</w:t>
      </w:r>
    </w:p>
    <w:p>
      <w:pPr>
        <w:pStyle w:val="4"/>
        <w:outlineLvl w:val="2"/>
      </w:pPr>
      <w:r>
        <w:rPr>
          <w:b/>
          <w:sz w:val="28"/>
        </w:rPr>
        <w:t>3.1采购项目概况</w:t>
      </w:r>
    </w:p>
    <w:p>
      <w:pPr>
        <w:pStyle w:val="4"/>
        <w:ind w:firstLine="480"/>
      </w:pPr>
    </w:p>
    <w:p>
      <w:pPr>
        <w:pStyle w:val="4"/>
      </w:pPr>
    </w:p>
    <w:p>
      <w:pPr>
        <w:pStyle w:val="4"/>
      </w:pPr>
      <w:r>
        <w:t>根据《自然资源部办公厅关于加强测量标志保护工作的通知》（自然资办发〔2020〕52号）、《四川省测绘地理信息局办公室关于加强测量标志属地化管理的通知》（川测办〔2021〕48号）文件要求，市(州)测绘地理信息主管部门需对本行政区域内所有测量标志进行普查维护，并落实分级管理制度和分类保护措施。</w:t>
      </w:r>
    </w:p>
    <w:p>
      <w:pPr>
        <w:pStyle w:val="4"/>
        <w:outlineLvl w:val="2"/>
      </w:pPr>
      <w:r>
        <w:rPr>
          <w:b/>
          <w:sz w:val="28"/>
        </w:rPr>
        <w:t>3.2服务内容及服务要求</w:t>
      </w:r>
    </w:p>
    <w:p>
      <w:pPr>
        <w:pStyle w:val="4"/>
        <w:outlineLvl w:val="3"/>
      </w:pPr>
      <w:r>
        <w:rPr>
          <w:b/>
          <w:sz w:val="24"/>
        </w:rPr>
        <w:t>3.2.1服务内容</w:t>
      </w:r>
    </w:p>
    <w:p>
      <w:pPr>
        <w:pStyle w:val="4"/>
      </w:pPr>
    </w:p>
    <w:p>
      <w:pPr>
        <w:pStyle w:val="4"/>
      </w:pPr>
    </w:p>
    <w:p>
      <w:pPr>
        <w:pStyle w:val="4"/>
      </w:pPr>
      <w:r>
        <w:t>采购包1：</w:t>
      </w:r>
    </w:p>
    <w:p>
      <w:pPr>
        <w:pStyle w:val="4"/>
      </w:pPr>
      <w:r>
        <w:t>采购包预算金额（元）: 1,284,000.00</w:t>
      </w:r>
    </w:p>
    <w:p>
      <w:pPr>
        <w:pStyle w:val="4"/>
      </w:pPr>
      <w:r>
        <w:t>采购包最高限价（元）: 1,284,000.00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自贡市测量标志维护</w:t>
            </w:r>
          </w:p>
        </w:tc>
        <w:tc>
          <w:tcPr>
            <w:tcW w:w="848" w:type="dxa"/>
          </w:tcPr>
          <w:p>
            <w:pPr>
              <w:pStyle w:val="4"/>
              <w:jc w:val="right"/>
            </w:pPr>
            <w:r>
              <w:t>1.00</w:t>
            </w:r>
          </w:p>
        </w:tc>
        <w:tc>
          <w:tcPr>
            <w:tcW w:w="1356" w:type="dxa"/>
          </w:tcPr>
          <w:p>
            <w:pPr>
              <w:pStyle w:val="4"/>
              <w:jc w:val="right"/>
            </w:pPr>
            <w:r>
              <w:t>1,284,000.00</w:t>
            </w:r>
          </w:p>
        </w:tc>
        <w:tc>
          <w:tcPr>
            <w:tcW w:w="678" w:type="dxa"/>
          </w:tcPr>
          <w:p>
            <w:pPr>
              <w:pStyle w:val="4"/>
            </w:pPr>
            <w:r>
              <w:t>项</w:t>
            </w:r>
          </w:p>
        </w:tc>
        <w:tc>
          <w:tcPr>
            <w:tcW w:w="678" w:type="dxa"/>
          </w:tcPr>
          <w:p>
            <w:pPr>
              <w:pStyle w:val="4"/>
            </w:pPr>
            <w:r>
              <w:t>其他未列明行业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bl>
    <w:p>
      <w:pPr>
        <w:pStyle w:val="4"/>
        <w:outlineLvl w:val="3"/>
      </w:pPr>
      <w:r>
        <w:rPr>
          <w:b/>
          <w:sz w:val="24"/>
        </w:rPr>
        <w:t>3.2.2服务要求</w:t>
      </w:r>
    </w:p>
    <w:p>
      <w:pPr>
        <w:pStyle w:val="4"/>
      </w:pPr>
    </w:p>
    <w:p>
      <w:pPr>
        <w:pStyle w:val="4"/>
      </w:pPr>
    </w:p>
    <w:p>
      <w:pPr>
        <w:pStyle w:val="4"/>
      </w:pPr>
    </w:p>
    <w:p>
      <w:pPr>
        <w:pStyle w:val="4"/>
      </w:pPr>
      <w:r>
        <w:t>采购包1：</w:t>
      </w:r>
    </w:p>
    <w:p>
      <w:pPr>
        <w:pStyle w:val="4"/>
      </w:pPr>
    </w:p>
    <w:p>
      <w:pPr>
        <w:pStyle w:val="4"/>
      </w:pPr>
      <w:r>
        <w:t>标的名称：自贡市测量标志维护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w:t>
            </w:r>
          </w:p>
        </w:tc>
        <w:tc>
          <w:tcPr>
            <w:tcW w:w="2769" w:type="dxa"/>
          </w:tcPr>
          <w:p>
            <w:pPr>
              <w:pStyle w:val="4"/>
            </w:pPr>
            <w:r>
              <w:t>1</w:t>
            </w:r>
          </w:p>
        </w:tc>
        <w:tc>
          <w:tcPr>
            <w:tcW w:w="2769" w:type="dxa"/>
          </w:tcPr>
          <w:p>
            <w:pPr>
              <w:pStyle w:val="4"/>
              <w:jc w:val="left"/>
            </w:pPr>
            <w:r>
              <w:rPr>
                <w:rFonts w:ascii="仿宋" w:hAnsi="仿宋" w:eastAsia="仿宋" w:cs="仿宋"/>
                <w:sz w:val="28"/>
              </w:rPr>
              <w:t>服务内容及要求</w:t>
            </w:r>
          </w:p>
          <w:p>
            <w:pPr>
              <w:pStyle w:val="4"/>
              <w:ind w:firstLine="560"/>
              <w:jc w:val="left"/>
            </w:pPr>
            <w:r>
              <w:rPr>
                <w:rFonts w:ascii="仿宋" w:hAnsi="仿宋" w:eastAsia="仿宋" w:cs="仿宋"/>
                <w:sz w:val="28"/>
              </w:rPr>
              <w:t>一、服务内容：</w:t>
            </w:r>
          </w:p>
          <w:p>
            <w:pPr>
              <w:pStyle w:val="4"/>
              <w:ind w:firstLine="560"/>
              <w:jc w:val="left"/>
            </w:pPr>
            <w:r>
              <w:rPr>
                <w:rFonts w:ascii="仿宋" w:hAnsi="仿宋" w:eastAsia="仿宋" w:cs="仿宋"/>
                <w:sz w:val="28"/>
              </w:rPr>
              <w:t>2022年11月，我市完成测量标志普查项目，全市现有测量标志控制点255个，其中：GPS点有A级2个、B级2个、C级13个；水准点有Ⅰ等42个、Ⅱ等56个；地方控制点有C级22个、D级118个。从保护状况看，其中：测量标志完好的199个，标石完好但保护设施损坏的31个（C级GNSS点9个，水准点Ⅰ等3个、二等9个，地方控制点C级9个、D级1个），全部损坏不可用的25个（C级GNSS点2个，水准点Ⅰ等5个、Ⅱ等9个，地方控制点C级1个、D级8个）。</w:t>
            </w:r>
          </w:p>
          <w:p>
            <w:pPr>
              <w:pStyle w:val="4"/>
              <w:ind w:firstLine="560"/>
              <w:jc w:val="left"/>
            </w:pPr>
            <w:r>
              <w:rPr>
                <w:rFonts w:ascii="仿宋" w:hAnsi="仿宋" w:eastAsia="仿宋" w:cs="仿宋"/>
                <w:sz w:val="28"/>
              </w:rPr>
              <w:t>二、服务要求：</w:t>
            </w:r>
          </w:p>
          <w:p>
            <w:pPr>
              <w:pStyle w:val="4"/>
              <w:ind w:firstLine="560"/>
              <w:jc w:val="left"/>
            </w:pPr>
            <w:r>
              <w:rPr>
                <w:rFonts w:ascii="仿宋" w:hAnsi="仿宋" w:eastAsia="仿宋" w:cs="仿宋"/>
                <w:sz w:val="28"/>
              </w:rPr>
              <w:t>1、投标人应按国家技术规范、标准、规定及采购人提出的技术要求编写技术方案，开展维护工作，按合同规定的进度要求提交合格的测绘成果资料并对其负责。</w:t>
            </w:r>
          </w:p>
          <w:p>
            <w:pPr>
              <w:pStyle w:val="4"/>
              <w:ind w:firstLine="560"/>
              <w:jc w:val="left"/>
            </w:pPr>
            <w:r>
              <w:rPr>
                <w:rFonts w:ascii="仿宋" w:hAnsi="仿宋" w:eastAsia="仿宋" w:cs="仿宋"/>
                <w:sz w:val="28"/>
              </w:rPr>
              <w:t>2、投标人应实地踏勘，并对已损毁的水准点重建形成水准测量相关成果。</w:t>
            </w:r>
          </w:p>
          <w:p>
            <w:pPr>
              <w:pStyle w:val="4"/>
              <w:ind w:firstLine="560"/>
              <w:jc w:val="left"/>
            </w:pPr>
            <w:r>
              <w:rPr>
                <w:rFonts w:ascii="仿宋" w:hAnsi="仿宋" w:eastAsia="仿宋" w:cs="仿宋"/>
                <w:sz w:val="28"/>
              </w:rPr>
              <w:t>2.1选点：实地踏勘选定水准路线、选定水准点位、设立点位标记。</w:t>
            </w:r>
          </w:p>
          <w:p>
            <w:pPr>
              <w:pStyle w:val="4"/>
              <w:ind w:firstLine="560"/>
              <w:jc w:val="left"/>
            </w:pPr>
            <w:r>
              <w:rPr>
                <w:rFonts w:ascii="仿宋" w:hAnsi="仿宋" w:eastAsia="仿宋" w:cs="仿宋"/>
                <w:sz w:val="28"/>
              </w:rPr>
              <w:t>2.2埋石：选定标识类型、标识埋设、标识外部整饰、水准标石稳定。</w:t>
            </w:r>
          </w:p>
          <w:p>
            <w:pPr>
              <w:pStyle w:val="4"/>
              <w:ind w:firstLine="560"/>
              <w:jc w:val="left"/>
            </w:pPr>
            <w:r>
              <w:rPr>
                <w:rFonts w:ascii="仿宋" w:hAnsi="仿宋" w:eastAsia="仿宋" w:cs="仿宋"/>
                <w:sz w:val="28"/>
              </w:rPr>
              <w:t>2.3仪器检校。</w:t>
            </w:r>
          </w:p>
          <w:p>
            <w:pPr>
              <w:pStyle w:val="4"/>
              <w:ind w:firstLine="560"/>
              <w:jc w:val="left"/>
            </w:pPr>
            <w:r>
              <w:rPr>
                <w:rFonts w:ascii="仿宋" w:hAnsi="仿宋" w:eastAsia="仿宋" w:cs="仿宋"/>
                <w:sz w:val="28"/>
              </w:rPr>
              <w:t>2.4水准观测：观测时间和气象条件记录、水准观测、观测间歇与检测、测站观测限差检查、重测和取舍。</w:t>
            </w:r>
          </w:p>
          <w:p>
            <w:pPr>
              <w:pStyle w:val="4"/>
              <w:ind w:firstLine="560"/>
              <w:jc w:val="left"/>
            </w:pPr>
            <w:r>
              <w:rPr>
                <w:rFonts w:ascii="仿宋" w:hAnsi="仿宋" w:eastAsia="仿宋" w:cs="仿宋"/>
                <w:sz w:val="28"/>
              </w:rPr>
              <w:t>2.5成果生产：观测记录整理和检查、数据解算、成果检查和质量评定。</w:t>
            </w:r>
          </w:p>
          <w:p>
            <w:pPr>
              <w:pStyle w:val="4"/>
              <w:ind w:firstLine="560"/>
              <w:jc w:val="left"/>
            </w:pPr>
            <w:r>
              <w:rPr>
                <w:rFonts w:ascii="仿宋" w:hAnsi="仿宋" w:eastAsia="仿宋" w:cs="仿宋"/>
                <w:sz w:val="28"/>
              </w:rPr>
              <w:t>3、投标人应实地踏勘，并对已损毁的GNSS点重建形成GNSS点相关成果。</w:t>
            </w:r>
          </w:p>
          <w:p>
            <w:pPr>
              <w:pStyle w:val="4"/>
              <w:ind w:firstLine="560"/>
              <w:jc w:val="left"/>
            </w:pPr>
            <w:r>
              <w:rPr>
                <w:rFonts w:ascii="仿宋" w:hAnsi="仿宋" w:eastAsia="仿宋" w:cs="仿宋"/>
                <w:sz w:val="28"/>
              </w:rPr>
              <w:t>3.1选点：实地踏勘选点点位（需水准联测的GNSS点实地踏勘水准路线情况，选择联测水准点，绘制联测路线图）。</w:t>
            </w:r>
          </w:p>
          <w:p>
            <w:pPr>
              <w:pStyle w:val="4"/>
              <w:ind w:firstLine="560"/>
              <w:jc w:val="left"/>
            </w:pPr>
            <w:r>
              <w:rPr>
                <w:rFonts w:ascii="仿宋" w:hAnsi="仿宋" w:eastAsia="仿宋" w:cs="仿宋"/>
                <w:sz w:val="28"/>
              </w:rPr>
              <w:t>3.2埋石：选定标石类型、标识埋设、标识外部整饰、制作GNSS点之记和环视图。</w:t>
            </w:r>
          </w:p>
          <w:p>
            <w:pPr>
              <w:pStyle w:val="4"/>
              <w:ind w:firstLine="560"/>
              <w:jc w:val="left"/>
            </w:pPr>
            <w:r>
              <w:rPr>
                <w:rFonts w:ascii="仿宋" w:hAnsi="仿宋" w:eastAsia="仿宋" w:cs="仿宋"/>
                <w:sz w:val="28"/>
              </w:rPr>
              <w:t>3.3仪器检校。</w:t>
            </w:r>
          </w:p>
          <w:p>
            <w:pPr>
              <w:pStyle w:val="4"/>
              <w:ind w:firstLine="560"/>
              <w:jc w:val="left"/>
            </w:pPr>
            <w:r>
              <w:rPr>
                <w:rFonts w:ascii="仿宋" w:hAnsi="仿宋" w:eastAsia="仿宋" w:cs="仿宋"/>
                <w:sz w:val="28"/>
              </w:rPr>
              <w:t>3.4观测：观测区划分和观测计划、观测作业、外业成果记录。</w:t>
            </w:r>
          </w:p>
          <w:p>
            <w:pPr>
              <w:pStyle w:val="4"/>
              <w:ind w:firstLine="560"/>
              <w:jc w:val="left"/>
            </w:pPr>
            <w:r>
              <w:rPr>
                <w:rFonts w:ascii="仿宋" w:hAnsi="仿宋" w:eastAsia="仿宋" w:cs="仿宋"/>
                <w:sz w:val="28"/>
              </w:rPr>
              <w:t>3.5数据处理：外业数据质量检核、基线向量解算、基线处理结果质量检核、重测和补测、GNSS网平差。</w:t>
            </w:r>
          </w:p>
          <w:p>
            <w:pPr>
              <w:pStyle w:val="4"/>
              <w:ind w:firstLine="560"/>
              <w:jc w:val="left"/>
            </w:pPr>
            <w:r>
              <w:rPr>
                <w:rFonts w:ascii="仿宋" w:hAnsi="仿宋" w:eastAsia="仿宋" w:cs="仿宋"/>
                <w:sz w:val="28"/>
              </w:rPr>
              <w:t>3.6成果生产：数据处理结果整理、成果检查和质量评定。</w:t>
            </w:r>
          </w:p>
          <w:p>
            <w:pPr>
              <w:pStyle w:val="4"/>
              <w:ind w:firstLine="560"/>
              <w:jc w:val="left"/>
            </w:pPr>
            <w:r>
              <w:rPr>
                <w:rFonts w:ascii="仿宋" w:hAnsi="仿宋" w:eastAsia="仿宋" w:cs="仿宋"/>
                <w:sz w:val="28"/>
              </w:rPr>
              <w:t>4、投标人应实地踏勘，并对已损毁的重力点重建形成重力点相关成果。</w:t>
            </w:r>
          </w:p>
          <w:p>
            <w:pPr>
              <w:pStyle w:val="4"/>
              <w:ind w:firstLine="560"/>
              <w:jc w:val="left"/>
            </w:pPr>
            <w:r>
              <w:rPr>
                <w:rFonts w:ascii="仿宋" w:hAnsi="仿宋" w:eastAsia="仿宋" w:cs="仿宋"/>
                <w:sz w:val="28"/>
              </w:rPr>
              <w:t>4.1选点：实地踏勘选点点位。</w:t>
            </w:r>
          </w:p>
          <w:p>
            <w:pPr>
              <w:pStyle w:val="4"/>
              <w:ind w:firstLine="560"/>
              <w:jc w:val="left"/>
            </w:pPr>
            <w:r>
              <w:rPr>
                <w:rFonts w:ascii="仿宋" w:hAnsi="仿宋" w:eastAsia="仿宋" w:cs="仿宋"/>
                <w:sz w:val="28"/>
              </w:rPr>
              <w:t>4.2埋石：选定标石类型、标识埋设、标识外部整饰、制作重力点之记。</w:t>
            </w:r>
          </w:p>
          <w:p>
            <w:pPr>
              <w:pStyle w:val="4"/>
              <w:ind w:firstLine="560"/>
              <w:jc w:val="left"/>
            </w:pPr>
            <w:r>
              <w:rPr>
                <w:rFonts w:ascii="仿宋" w:hAnsi="仿宋" w:eastAsia="仿宋" w:cs="仿宋"/>
                <w:sz w:val="28"/>
              </w:rPr>
              <w:t>4.3仪器检校。</w:t>
            </w:r>
          </w:p>
          <w:p>
            <w:pPr>
              <w:pStyle w:val="4"/>
              <w:ind w:firstLine="560"/>
              <w:jc w:val="left"/>
            </w:pPr>
            <w:r>
              <w:rPr>
                <w:rFonts w:ascii="仿宋" w:hAnsi="仿宋" w:eastAsia="仿宋" w:cs="仿宋"/>
                <w:sz w:val="28"/>
              </w:rPr>
              <w:t>4.4观测：观测作业、外业成果记录。</w:t>
            </w:r>
          </w:p>
          <w:p>
            <w:pPr>
              <w:pStyle w:val="4"/>
              <w:ind w:firstLine="560"/>
              <w:jc w:val="left"/>
            </w:pPr>
            <w:r>
              <w:rPr>
                <w:rFonts w:ascii="仿宋" w:hAnsi="仿宋" w:eastAsia="仿宋" w:cs="仿宋"/>
                <w:sz w:val="28"/>
              </w:rPr>
              <w:t>4.5数据处理：外业数据质量检核、测线计算、成果平差。</w:t>
            </w:r>
          </w:p>
          <w:p>
            <w:pPr>
              <w:pStyle w:val="4"/>
              <w:ind w:firstLine="560"/>
              <w:jc w:val="left"/>
            </w:pPr>
            <w:r>
              <w:rPr>
                <w:rFonts w:ascii="仿宋" w:hAnsi="仿宋" w:eastAsia="仿宋" w:cs="仿宋"/>
                <w:sz w:val="28"/>
              </w:rPr>
              <w:t>4.6成果生产：数据处理结果整理、成果检查和质量评定。</w:t>
            </w:r>
          </w:p>
          <w:p>
            <w:pPr>
              <w:pStyle w:val="4"/>
              <w:ind w:firstLine="560"/>
              <w:jc w:val="left"/>
            </w:pPr>
            <w:r>
              <w:rPr>
                <w:rFonts w:ascii="仿宋" w:hAnsi="仿宋" w:eastAsia="仿宋" w:cs="仿宋"/>
                <w:sz w:val="28"/>
              </w:rPr>
              <w:t>5、投标人应对部分损毁的GNSS点根据损毁情况进行修复。</w:t>
            </w:r>
          </w:p>
          <w:p>
            <w:pPr>
              <w:pStyle w:val="4"/>
              <w:ind w:firstLine="560"/>
              <w:jc w:val="left"/>
            </w:pPr>
            <w:r>
              <w:rPr>
                <w:rFonts w:ascii="仿宋" w:hAnsi="仿宋" w:eastAsia="仿宋" w:cs="仿宋"/>
                <w:sz w:val="28"/>
              </w:rPr>
              <w:t>5.1补埋加固标志指示桩。</w:t>
            </w:r>
          </w:p>
          <w:p>
            <w:pPr>
              <w:pStyle w:val="4"/>
              <w:ind w:firstLine="560"/>
              <w:jc w:val="left"/>
            </w:pPr>
            <w:r>
              <w:rPr>
                <w:rFonts w:ascii="仿宋" w:hAnsi="仿宋" w:eastAsia="仿宋" w:cs="仿宋"/>
                <w:sz w:val="28"/>
              </w:rPr>
              <w:t xml:space="preserve">5.2加套保护井（盖）。  </w:t>
            </w:r>
          </w:p>
          <w:p>
            <w:pPr>
              <w:pStyle w:val="4"/>
              <w:ind w:firstLine="560"/>
              <w:jc w:val="left"/>
            </w:pPr>
            <w:r>
              <w:rPr>
                <w:rFonts w:ascii="仿宋" w:hAnsi="仿宋" w:eastAsia="仿宋" w:cs="仿宋"/>
                <w:sz w:val="28"/>
              </w:rPr>
              <w:t>5.3砌筑标石保护井、防护坡和防护墩。</w:t>
            </w:r>
          </w:p>
          <w:p>
            <w:pPr>
              <w:pStyle w:val="4"/>
              <w:ind w:firstLine="560"/>
              <w:jc w:val="left"/>
            </w:pPr>
            <w:r>
              <w:rPr>
                <w:rFonts w:ascii="仿宋" w:hAnsi="仿宋" w:eastAsia="仿宋" w:cs="仿宋"/>
                <w:sz w:val="28"/>
              </w:rPr>
              <w:t>5.4补埋上盘石、柱石以及镶嵌柱石标志。</w:t>
            </w:r>
          </w:p>
          <w:p>
            <w:pPr>
              <w:pStyle w:val="4"/>
              <w:ind w:firstLine="560"/>
              <w:jc w:val="left"/>
            </w:pPr>
            <w:r>
              <w:rPr>
                <w:rFonts w:ascii="仿宋" w:hAnsi="仿宋" w:eastAsia="仿宋" w:cs="仿宋"/>
                <w:sz w:val="28"/>
              </w:rPr>
              <w:t xml:space="preserve">5.5加设标志护盖、指示盘。  </w:t>
            </w:r>
          </w:p>
          <w:p>
            <w:pPr>
              <w:pStyle w:val="4"/>
              <w:ind w:firstLine="560"/>
              <w:jc w:val="left"/>
            </w:pPr>
            <w:r>
              <w:rPr>
                <w:rFonts w:ascii="仿宋" w:hAnsi="仿宋" w:eastAsia="仿宋" w:cs="仿宋"/>
                <w:sz w:val="28"/>
              </w:rPr>
              <w:t xml:space="preserve">5.6镶补损坏的标石，进行外部整饰。  </w:t>
            </w:r>
          </w:p>
          <w:p>
            <w:pPr>
              <w:pStyle w:val="4"/>
              <w:ind w:firstLine="560"/>
              <w:jc w:val="left"/>
            </w:pPr>
            <w:r>
              <w:rPr>
                <w:rFonts w:ascii="仿宋" w:hAnsi="仿宋" w:eastAsia="仿宋" w:cs="仿宋"/>
                <w:sz w:val="28"/>
              </w:rPr>
              <w:t>6、涉密要求：投标人应制定严格的测绘地理信息安全保密制度，明确涉密人员管理、保密要害部门部位管理、涉密设备与存储介质管理、涉密测绘成果全流程保密等要求。保护采购人的所有涉密资料，不得向第三方泄露、转让采购人提交的涉密资料。如发生泄密情况采购人有权向投标人追究法律责任。</w:t>
            </w:r>
          </w:p>
          <w:p>
            <w:pPr>
              <w:pStyle w:val="4"/>
              <w:ind w:firstLine="560"/>
              <w:jc w:val="left"/>
            </w:pPr>
            <w:r>
              <w:rPr>
                <w:rFonts w:ascii="仿宋" w:hAnsi="仿宋" w:eastAsia="仿宋" w:cs="仿宋"/>
                <w:sz w:val="28"/>
              </w:rPr>
              <w:t>7、质量要求：按照采购人要求，项目成果须符合中央、省、市（州）等相关文件技术标准的要求，并通过质量技术监督检查。图形文件须确保后续上传规定格式准确。</w:t>
            </w:r>
          </w:p>
          <w:p>
            <w:pPr>
              <w:pStyle w:val="4"/>
              <w:ind w:firstLine="560"/>
              <w:jc w:val="left"/>
            </w:pPr>
            <w:r>
              <w:rPr>
                <w:rFonts w:ascii="仿宋" w:hAnsi="仿宋" w:eastAsia="仿宋" w:cs="仿宋"/>
                <w:sz w:val="28"/>
              </w:rPr>
              <w:t>8、施工前成立测量标志维修维护领导小组，对参与施工的测量技术人员进行集中培训、技术交底，统一工作流程和工作方法。</w:t>
            </w:r>
          </w:p>
          <w:p>
            <w:pPr>
              <w:pStyle w:val="4"/>
              <w:ind w:firstLine="560"/>
              <w:jc w:val="left"/>
            </w:pPr>
            <w:r>
              <w:rPr>
                <w:rFonts w:ascii="仿宋" w:hAnsi="仿宋" w:eastAsia="仿宋" w:cs="仿宋"/>
                <w:sz w:val="28"/>
              </w:rPr>
              <w:t>9、加强与采购人的沟通交流，根据各等级测量控制点普查略图和维护分类情况制定工作计划和路线，统一指挥和行动。</w:t>
            </w:r>
          </w:p>
          <w:p>
            <w:pPr>
              <w:pStyle w:val="4"/>
              <w:ind w:firstLine="560"/>
              <w:jc w:val="left"/>
            </w:pPr>
            <w:r>
              <w:rPr>
                <w:rFonts w:ascii="仿宋" w:hAnsi="仿宋" w:eastAsia="仿宋" w:cs="仿宋"/>
                <w:sz w:val="28"/>
              </w:rPr>
              <w:t>10、作业前依据相关测量规范和项目技术设计书制定严格的技术操作标准，组织技术人员学习，进行测量技术交底，确保测绘成果质量设计要求。</w:t>
            </w:r>
          </w:p>
          <w:p>
            <w:pPr>
              <w:pStyle w:val="4"/>
              <w:ind w:firstLine="560"/>
              <w:jc w:val="left"/>
            </w:pPr>
            <w:r>
              <w:rPr>
                <w:rFonts w:ascii="仿宋" w:hAnsi="仿宋" w:eastAsia="仿宋" w:cs="仿宋"/>
                <w:sz w:val="28"/>
              </w:rPr>
              <w:t>11、作业前制定严格的安全制度和措施，严格执行安全操作规程，对参加作业的所有人员进行安全技术交底。</w:t>
            </w:r>
          </w:p>
          <w:p>
            <w:pPr>
              <w:pStyle w:val="4"/>
              <w:ind w:firstLine="560"/>
              <w:jc w:val="left"/>
            </w:pPr>
            <w:r>
              <w:rPr>
                <w:rFonts w:ascii="仿宋" w:hAnsi="仿宋" w:eastAsia="仿宋" w:cs="仿宋"/>
                <w:sz w:val="28"/>
              </w:rPr>
              <w:t>12、项目测绘成果质量检查实行“两级检查一级验收”制度，作业人员互检为过程检查，单位级检查为最终检查，经过两级检查的测绘成果方可申请提交质量监督检查。检查验收应依据有关国家标准、行业标准、设计书、测绘任务书和合同书进行。</w:t>
            </w:r>
          </w:p>
          <w:p>
            <w:pPr>
              <w:pStyle w:val="4"/>
              <w:ind w:firstLine="560"/>
              <w:jc w:val="left"/>
            </w:pPr>
            <w:r>
              <w:rPr>
                <w:rFonts w:ascii="仿宋" w:hAnsi="仿宋" w:eastAsia="仿宋" w:cs="仿宋"/>
                <w:sz w:val="28"/>
              </w:rPr>
              <w:t>13、强化维护过程中的监督指导，每座测量标志的维护施工中必须有测绘专业人员在场，施工中严禁碰动标石，确保维护质量。</w:t>
            </w:r>
          </w:p>
          <w:p>
            <w:pPr>
              <w:pStyle w:val="4"/>
              <w:jc w:val="both"/>
            </w:pPr>
            <w:r>
              <w:rPr>
                <w:rFonts w:ascii="仿宋" w:hAnsi="仿宋" w:eastAsia="仿宋" w:cs="仿宋"/>
                <w:sz w:val="28"/>
              </w:rPr>
              <w:t xml:space="preserve">   14、项目工作完成后上交项目工作总结、原始记录数据、过程检查、最终检查等相关资料。</w:t>
            </w:r>
          </w:p>
        </w:tc>
      </w:tr>
    </w:tbl>
    <w:p>
      <w:pPr>
        <w:pStyle w:val="4"/>
        <w:outlineLvl w:val="3"/>
      </w:pPr>
      <w:r>
        <w:rPr>
          <w:b/>
          <w:sz w:val="24"/>
        </w:rPr>
        <w:t>3.2.3人员配置要求</w:t>
      </w:r>
    </w:p>
    <w:p>
      <w:pPr>
        <w:pStyle w:val="4"/>
      </w:pPr>
    </w:p>
    <w:p>
      <w:pPr>
        <w:pStyle w:val="4"/>
      </w:pPr>
    </w:p>
    <w:p>
      <w:pPr>
        <w:pStyle w:val="4"/>
      </w:pPr>
    </w:p>
    <w:p>
      <w:pPr>
        <w:pStyle w:val="4"/>
      </w:pPr>
      <w:r>
        <w:t>采购包1：</w:t>
      </w:r>
    </w:p>
    <w:p>
      <w:pPr>
        <w:pStyle w:val="4"/>
      </w:pPr>
      <w:r>
        <w:t>/</w:t>
      </w:r>
    </w:p>
    <w:p>
      <w:pPr>
        <w:pStyle w:val="4"/>
        <w:outlineLvl w:val="3"/>
      </w:pPr>
      <w:r>
        <w:rPr>
          <w:b/>
          <w:sz w:val="24"/>
        </w:rPr>
        <w:t>3.2.4设施设备配置要求</w:t>
      </w:r>
    </w:p>
    <w:p>
      <w:pPr>
        <w:pStyle w:val="4"/>
      </w:pPr>
    </w:p>
    <w:p>
      <w:pPr>
        <w:pStyle w:val="4"/>
      </w:pPr>
    </w:p>
    <w:p>
      <w:pPr>
        <w:pStyle w:val="4"/>
      </w:pPr>
    </w:p>
    <w:p>
      <w:pPr>
        <w:pStyle w:val="4"/>
      </w:pPr>
      <w:r>
        <w:t>采购包1：</w:t>
      </w:r>
    </w:p>
    <w:p>
      <w:pPr>
        <w:pStyle w:val="4"/>
      </w:pPr>
      <w:r>
        <w:t>/</w:t>
      </w:r>
    </w:p>
    <w:p>
      <w:pPr>
        <w:pStyle w:val="4"/>
        <w:outlineLvl w:val="3"/>
      </w:pPr>
      <w:r>
        <w:rPr>
          <w:b/>
          <w:sz w:val="24"/>
        </w:rPr>
        <w:t>3.2.5其他要求</w:t>
      </w:r>
    </w:p>
    <w:p>
      <w:pPr>
        <w:pStyle w:val="4"/>
      </w:pPr>
    </w:p>
    <w:p>
      <w:pPr>
        <w:pStyle w:val="4"/>
      </w:pPr>
    </w:p>
    <w:p>
      <w:pPr>
        <w:pStyle w:val="4"/>
      </w:pPr>
    </w:p>
    <w:p>
      <w:pPr>
        <w:pStyle w:val="4"/>
      </w:pPr>
      <w:r>
        <w:t>采购包1：</w:t>
      </w:r>
    </w:p>
    <w:p>
      <w:pPr>
        <w:pStyle w:val="4"/>
      </w:pPr>
      <w:r>
        <w:t>/</w:t>
      </w:r>
    </w:p>
    <w:p>
      <w:pPr>
        <w:pStyle w:val="4"/>
        <w:outlineLvl w:val="2"/>
      </w:pPr>
      <w:r>
        <w:rPr>
          <w:b/>
          <w:sz w:val="28"/>
        </w:rPr>
        <w:t>3.3商务要求</w:t>
      </w:r>
    </w:p>
    <w:p>
      <w:pPr>
        <w:pStyle w:val="4"/>
        <w:outlineLvl w:val="3"/>
      </w:pPr>
      <w:r>
        <w:rPr>
          <w:b/>
          <w:sz w:val="24"/>
        </w:rPr>
        <w:t>3.3.1服务期限</w:t>
      </w:r>
    </w:p>
    <w:p>
      <w:pPr>
        <w:pStyle w:val="4"/>
      </w:pPr>
    </w:p>
    <w:p>
      <w:pPr>
        <w:pStyle w:val="4"/>
      </w:pPr>
    </w:p>
    <w:p>
      <w:pPr>
        <w:pStyle w:val="4"/>
      </w:pPr>
    </w:p>
    <w:p>
      <w:pPr>
        <w:pStyle w:val="4"/>
      </w:pPr>
      <w:r>
        <w:t>采购包1：</w:t>
      </w:r>
    </w:p>
    <w:p>
      <w:pPr>
        <w:pStyle w:val="4"/>
      </w:pPr>
      <w:r>
        <w:t xml:space="preserve"> 自合同签订之日起270日</w:t>
      </w:r>
    </w:p>
    <w:p>
      <w:pPr>
        <w:pStyle w:val="4"/>
        <w:outlineLvl w:val="3"/>
      </w:pPr>
      <w:r>
        <w:rPr>
          <w:b/>
          <w:sz w:val="24"/>
        </w:rPr>
        <w:t>3.3.2服务地点</w:t>
      </w:r>
    </w:p>
    <w:p>
      <w:pPr>
        <w:pStyle w:val="4"/>
      </w:pPr>
    </w:p>
    <w:p>
      <w:pPr>
        <w:pStyle w:val="4"/>
      </w:pPr>
    </w:p>
    <w:p>
      <w:pPr>
        <w:pStyle w:val="4"/>
      </w:pPr>
    </w:p>
    <w:p>
      <w:pPr>
        <w:pStyle w:val="4"/>
      </w:pPr>
      <w:r>
        <w:t>采购包1：</w:t>
      </w:r>
    </w:p>
    <w:p>
      <w:pPr>
        <w:pStyle w:val="4"/>
      </w:pPr>
      <w:r>
        <w:t>采购人指定地点</w:t>
      </w:r>
    </w:p>
    <w:p>
      <w:pPr>
        <w:pStyle w:val="4"/>
        <w:outlineLvl w:val="3"/>
      </w:pPr>
      <w:r>
        <w:rPr>
          <w:b/>
          <w:sz w:val="24"/>
        </w:rPr>
        <w:t>3.3.3考核（验收）标准和方法</w:t>
      </w:r>
    </w:p>
    <w:p>
      <w:pPr>
        <w:pStyle w:val="4"/>
      </w:pPr>
    </w:p>
    <w:p>
      <w:pPr>
        <w:pStyle w:val="4"/>
      </w:pPr>
    </w:p>
    <w:p>
      <w:pPr>
        <w:pStyle w:val="4"/>
      </w:pPr>
    </w:p>
    <w:p>
      <w:pPr>
        <w:pStyle w:val="4"/>
      </w:pPr>
      <w:r>
        <w:t>采购包1：</w:t>
      </w:r>
    </w:p>
    <w:p>
      <w:pPr>
        <w:pStyle w:val="4"/>
      </w:pPr>
      <w:r>
        <w:t>按照政府采购相关法律法规以及《财政部关于进一步加强政府采购需求和履约验收管理的指导意见》财库〔2016〕205号的规定、《政府采购需求管理办法》、《自贡市政府采购履约验收管理办法》的规定、招标文件规定的要求和中标人投标文件及合同约定的内容进行验收。</w:t>
      </w:r>
    </w:p>
    <w:p>
      <w:pPr>
        <w:pStyle w:val="4"/>
        <w:outlineLvl w:val="3"/>
      </w:pPr>
      <w:r>
        <w:rPr>
          <w:b/>
          <w:sz w:val="24"/>
        </w:rPr>
        <w:t>3.3.4支付方式</w:t>
      </w:r>
    </w:p>
    <w:p>
      <w:pPr>
        <w:pStyle w:val="4"/>
      </w:pPr>
    </w:p>
    <w:p>
      <w:pPr>
        <w:pStyle w:val="4"/>
      </w:pPr>
    </w:p>
    <w:p>
      <w:pPr>
        <w:pStyle w:val="4"/>
      </w:pPr>
    </w:p>
    <w:p>
      <w:pPr>
        <w:pStyle w:val="4"/>
      </w:pPr>
      <w:r>
        <w:t>采购包1：</w:t>
      </w:r>
    </w:p>
    <w:p>
      <w:pPr>
        <w:pStyle w:val="4"/>
      </w:pPr>
      <w:r>
        <w:t>分期付款</w:t>
      </w:r>
    </w:p>
    <w:p>
      <w:pPr>
        <w:pStyle w:val="4"/>
        <w:outlineLvl w:val="3"/>
      </w:pPr>
      <w:r>
        <w:rPr>
          <w:b/>
          <w:sz w:val="24"/>
        </w:rPr>
        <w:t>3.3.5.支付约定</w:t>
      </w:r>
    </w:p>
    <w:p>
      <w:pPr>
        <w:pStyle w:val="4"/>
      </w:pPr>
    </w:p>
    <w:p>
      <w:pPr>
        <w:pStyle w:val="4"/>
      </w:pPr>
    </w:p>
    <w:p>
      <w:pPr>
        <w:pStyle w:val="4"/>
      </w:pPr>
    </w:p>
    <w:p>
      <w:pPr>
        <w:pStyle w:val="4"/>
      </w:pPr>
      <w:r>
        <w:t>采购包1： 付款条件说明： 合同签订后 ，达到付款条件起 14 日内，支付合同总金额的 30.00%。</w:t>
      </w:r>
    </w:p>
    <w:p>
      <w:pPr>
        <w:pStyle w:val="4"/>
      </w:pPr>
      <w:r>
        <w:t>采购包1： 付款条件说明： 2025年12月31日前 ，达到付款条件起 10 日内，支付合同总金额的 40.00%。</w:t>
      </w:r>
    </w:p>
    <w:p>
      <w:pPr>
        <w:pStyle w:val="4"/>
      </w:pPr>
      <w:r>
        <w:t>采购包1： 付款条件说明： 2026年12月31日前 ，达到付款条件起 10 日内，支付合同总金额的 30.00%。</w:t>
      </w:r>
    </w:p>
    <w:p>
      <w:pPr>
        <w:pStyle w:val="4"/>
        <w:outlineLvl w:val="3"/>
      </w:pPr>
      <w:r>
        <w:rPr>
          <w:b/>
          <w:sz w:val="24"/>
        </w:rPr>
        <w:t>3.3.6违约责任与解决争议的方法</w:t>
      </w:r>
    </w:p>
    <w:p>
      <w:pPr>
        <w:pStyle w:val="4"/>
      </w:pPr>
    </w:p>
    <w:p>
      <w:pPr>
        <w:pStyle w:val="4"/>
      </w:pPr>
    </w:p>
    <w:p>
      <w:pPr>
        <w:pStyle w:val="4"/>
      </w:pPr>
    </w:p>
    <w:p>
      <w:pPr>
        <w:pStyle w:val="4"/>
      </w:pPr>
      <w:r>
        <w:t>采购包1：</w:t>
      </w:r>
    </w:p>
    <w:p>
      <w:pPr>
        <w:pStyle w:val="4"/>
      </w:pPr>
      <w:r>
        <w:t>1、违约责任：（1）如因投标人工作人员在履行职务过程中的疏忽、失职、过错等故意或者过失原因给采购人造成损失或侵害，包括但不限于采购人本身的财产损失、由此而导致的采购人对任何第三方的法律责任等，投标人对此均应承担全部的赔偿责任。 （2）因投标人提供的服务不完善、不规范给采购人造成损失或侵害，包括但不限于采购人本身的财产损失、由此而导致的采购人对任何第三方的法律责任等，投标人对此均应承担全部的赔偿责任。 （3）若当事人一方不履行合同义务或者履行合同义务不符合约定条件，导致损害对方权益的，受损害方有权选择请求其承担违约责任或者侵权责任,受损害方维权所产生的费用（包括但不限于诉讼费、保全费、律师费用等）由违约方承担。 2、争议解决方法：（1）在执行本合同中发生的或与本合同有关的争端，双方应通过友好协商解决，经协商不能达成协议时，应在采购人所在地有管辖权的法院诉讼解决。 （2）在诉讼期间，除正在进行诉讼部分外，合同其他部分继续执行。</w:t>
      </w:r>
    </w:p>
    <w:p>
      <w:pPr>
        <w:pStyle w:val="4"/>
        <w:jc w:val="left"/>
        <w:outlineLvl w:val="2"/>
      </w:pPr>
      <w:r>
        <w:rPr>
          <w:b/>
          <w:sz w:val="28"/>
        </w:rPr>
        <w:t>3.4其他要求</w:t>
      </w:r>
    </w:p>
    <w:p>
      <w:pPr>
        <w:pStyle w:val="4"/>
      </w:pPr>
    </w:p>
    <w:p>
      <w:pPr>
        <w:pStyle w:val="4"/>
      </w:pPr>
    </w:p>
    <w:p>
      <w:pPr>
        <w:pStyle w:val="4"/>
      </w:pPr>
      <w:r>
        <w:t>（以下条款皆为实质性条款，投标人必须满足且在商务响应表中进行应答，否则作为无效投标处理。） 1、合同签订：成交通知书发出之日起30日内。 2、付款方式：合同签订后14日内支付38.52万元合同金额作为预付款；2025年12月31日采购人向供应商支付实际合同金额的40%；2026年12月31日前支付剩余合同金额。（以此为准） 3、服务期限：2024年底前全面完成维护工作，2025年2月前完成后续委托保管等工作。 4、服务地点：采购人指定地点。 5、报价要求：报价是供应商响应采购项目要求的全部工作内容的价格体现，包括供应商完成本项目所需的一切费用，采购人不再支付额外的一切费用。 6、投标人在项目实施过程中应保证项目实施人员安全，因投标人责任造成自身安全事故或第三方的人身安全事故的，由投标人全部负责。由于第三方责任导致投标人人身安全事故，由投标人和第三方进行协商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jNiOGM4NjhmMDRlOGQyM2EyYTAwZmMzMGFlZmEifQ=="/>
  </w:docVars>
  <w:rsids>
    <w:rsidRoot w:val="56503401"/>
    <w:rsid w:val="56503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2024-04-28T03:45:00Z</dcterms:created>
  <dc:creator>久润招标</dc:creator>
  <cp:lastModifiedBy>久润招标</cp:lastModifiedBy>
  <dcterms:modified xsi:type="dcterms:W3CDTF">2024-04-28T03:46:10Z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20FF2E456A0F48BDA0447E6318270BDD_11</vt:lpwstr>
  </property>
</Properties>
</file>