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pPr>
    </w:p>
    <w:p>
      <w:pPr>
        <w:pStyle w:val="4"/>
        <w:jc w:val="center"/>
        <w:outlineLvl w:val="0"/>
        <w:rPr>
          <w:b/>
          <w:sz w:val="48"/>
        </w:rPr>
      </w:pPr>
      <w:r>
        <w:rPr>
          <w:b/>
          <w:sz w:val="48"/>
        </w:rPr>
        <w:t>政府采购项目采购需求</w:t>
      </w:r>
    </w:p>
    <w:p>
      <w:pPr>
        <w:pStyle w:val="4"/>
        <w:jc w:val="center"/>
        <w:outlineLvl w:val="0"/>
        <w:rPr>
          <w:b/>
          <w:sz w:val="48"/>
        </w:rPr>
      </w:pPr>
    </w:p>
    <w:p>
      <w:pPr>
        <w:pStyle w:val="4"/>
        <w:jc w:val="both"/>
        <w:outlineLvl w:val="2"/>
      </w:pPr>
      <w:r>
        <w:rPr>
          <w:b/>
          <w:sz w:val="28"/>
        </w:rPr>
        <w:t>采购单位：汉源县自然资源和规划局</w:t>
      </w:r>
    </w:p>
    <w:p>
      <w:pPr>
        <w:pStyle w:val="4"/>
        <w:jc w:val="both"/>
        <w:outlineLvl w:val="2"/>
      </w:pPr>
      <w:r>
        <w:rPr>
          <w:b/>
          <w:sz w:val="28"/>
        </w:rPr>
        <w:t>所属年度：2024年</w:t>
      </w:r>
    </w:p>
    <w:p>
      <w:pPr>
        <w:pStyle w:val="4"/>
        <w:jc w:val="both"/>
        <w:outlineLvl w:val="2"/>
      </w:pPr>
      <w:r>
        <w:rPr>
          <w:b/>
          <w:sz w:val="28"/>
        </w:rPr>
        <w:t>编制单位：汉源县自然资源和规划局</w:t>
      </w:r>
    </w:p>
    <w:p>
      <w:pPr>
        <w:pStyle w:val="4"/>
        <w:jc w:val="both"/>
        <w:outlineLvl w:val="2"/>
      </w:pPr>
      <w:r>
        <w:rPr>
          <w:b/>
          <w:sz w:val="28"/>
        </w:rPr>
        <w:t>编制时间：2024年04月15日</w:t>
      </w:r>
      <w:bookmarkStart w:id="0" w:name="_GoBack"/>
      <w:bookmarkEnd w:id="0"/>
    </w:p>
    <w:p>
      <w:pPr>
        <w:pStyle w:val="4"/>
        <w:outlineLvl w:val="2"/>
      </w:pPr>
      <w:r>
        <w:rPr>
          <w:b/>
          <w:sz w:val="28"/>
        </w:rPr>
        <w:t>一、项目总体情况</w:t>
      </w:r>
    </w:p>
    <w:p>
      <w:pPr>
        <w:pStyle w:val="4"/>
      </w:pPr>
      <w:r>
        <w:t xml:space="preserve"> （一）项目名称： 2022年耕地进出平衡工作技术服务费项目</w:t>
      </w:r>
    </w:p>
    <w:p>
      <w:pPr>
        <w:pStyle w:val="4"/>
      </w:pPr>
      <w:r>
        <w:t xml:space="preserve"> （二）项目所属年度： 2024年</w:t>
      </w:r>
    </w:p>
    <w:p>
      <w:pPr>
        <w:pStyle w:val="4"/>
      </w:pPr>
      <w:r>
        <w:t xml:space="preserve"> （三）项目所属分类： 服务</w:t>
      </w:r>
    </w:p>
    <w:p>
      <w:pPr>
        <w:pStyle w:val="4"/>
      </w:pPr>
      <w:r>
        <w:t xml:space="preserve"> （四）预算金额（元）：1,915,500.00元 ，大写（人民币）：壹佰玖拾壹万伍仟伍佰元整</w:t>
      </w:r>
    </w:p>
    <w:p>
      <w:pPr>
        <w:pStyle w:val="4"/>
      </w:pPr>
      <w:r>
        <w:t xml:space="preserve"> （五）项目概况：</w:t>
      </w:r>
    </w:p>
    <w:p>
      <w:pPr>
        <w:pStyle w:val="4"/>
        <w:ind w:firstLine="400" w:firstLineChars="200"/>
      </w:pPr>
      <w:r>
        <w:t>结合我县实际情况，拟在全县12个乡镇采取“无人机航飞影像→内业提取符合耕地认定矢量图斑→外业举证”最终形成恢复耕地成果数据的工作模式。 主要功能或目标：按照“无人机航飞影像→内业提取符合耕地认定矢量图斑→外业举证”工作模式，航飞12个乡镇约897km2影像，提取图斑，找回耕地，完成汉源县2022年耕地进出平衡恢复任务1800亩举证工作，协助采购人顺利完成2022年耕地进出平衡考核工作，对一些文档资料进行整理、存档，相关的数据资料整合；协助跟进相关技术性及相关业务工作。</w:t>
      </w:r>
    </w:p>
    <w:p>
      <w:pPr>
        <w:pStyle w:val="4"/>
      </w:pPr>
      <w:r>
        <w:t>（六）本项目是否有为采购项目提供整体设计、规范编制或者项目管理、监理、检测等服务的供应商：否</w:t>
      </w:r>
    </w:p>
    <w:p>
      <w:pPr>
        <w:pStyle w:val="4"/>
        <w:outlineLvl w:val="2"/>
      </w:pPr>
      <w:r>
        <w:rPr>
          <w:b/>
          <w:sz w:val="28"/>
        </w:rPr>
        <w:t>二、项目需求调查情况</w:t>
      </w:r>
    </w:p>
    <w:p>
      <w:pPr>
        <w:pStyle w:val="4"/>
      </w:pPr>
      <w:r>
        <w:t>依据《政府采购需求管理办法》的规定，本项目不需要需求调查，具体情况如下：</w:t>
      </w:r>
    </w:p>
    <w:p>
      <w:pPr>
        <w:pStyle w:val="4"/>
      </w:pPr>
      <w:r>
        <w:t>（一）需求调查方式</w:t>
      </w:r>
    </w:p>
    <w:p>
      <w:pPr>
        <w:pStyle w:val="4"/>
      </w:pPr>
      <w:r>
        <w:t>（二）需求调查对象</w:t>
      </w:r>
    </w:p>
    <w:p>
      <w:pPr>
        <w:pStyle w:val="4"/>
      </w:pPr>
      <w:r>
        <w:t>（三）需求调查结果</w:t>
      </w:r>
    </w:p>
    <w:p>
      <w:pPr>
        <w:pStyle w:val="4"/>
        <w:ind w:firstLine="400" w:firstLineChars="200"/>
      </w:pPr>
      <w:r>
        <w:t>1.相关产业发展情况</w:t>
      </w:r>
    </w:p>
    <w:p>
      <w:pPr>
        <w:pStyle w:val="4"/>
        <w:ind w:firstLine="400" w:firstLineChars="200"/>
      </w:pPr>
      <w:r>
        <w:t>2.市场供给情况</w:t>
      </w:r>
    </w:p>
    <w:p>
      <w:pPr>
        <w:pStyle w:val="4"/>
        <w:ind w:firstLine="400" w:firstLineChars="200"/>
      </w:pPr>
      <w:r>
        <w:t>3.同类采购项目历史成交信息情况</w:t>
      </w:r>
    </w:p>
    <w:p>
      <w:pPr>
        <w:pStyle w:val="4"/>
        <w:ind w:firstLine="400" w:firstLineChars="200"/>
      </w:pPr>
      <w:r>
        <w:t>4.可能涉及的运行维护、升级更新、备品备件、耗材等后续采购情况</w:t>
      </w:r>
    </w:p>
    <w:p>
      <w:pPr>
        <w:pStyle w:val="4"/>
        <w:ind w:firstLine="400" w:firstLineChars="200"/>
      </w:pPr>
      <w:r>
        <w:t>5.其他相关情况</w:t>
      </w:r>
    </w:p>
    <w:p>
      <w:pPr>
        <w:pStyle w:val="4"/>
        <w:outlineLvl w:val="2"/>
      </w:pPr>
      <w:r>
        <w:rPr>
          <w:b/>
          <w:sz w:val="28"/>
        </w:rPr>
        <w:t>三、项目采购实施计划</w:t>
      </w:r>
    </w:p>
    <w:p>
      <w:pPr>
        <w:pStyle w:val="4"/>
        <w:ind w:firstLine="200" w:firstLineChars="100"/>
      </w:pPr>
      <w:r>
        <w:t>（一）采购组织形式：分散采购</w:t>
      </w:r>
    </w:p>
    <w:p>
      <w:pPr>
        <w:pStyle w:val="4"/>
        <w:ind w:firstLine="200" w:firstLineChars="100"/>
      </w:pPr>
      <w:r>
        <w:t>（二）采购方式：竞争性磋商</w:t>
      </w:r>
    </w:p>
    <w:p>
      <w:pPr>
        <w:pStyle w:val="4"/>
        <w:ind w:firstLine="200" w:firstLineChars="100"/>
      </w:pPr>
      <w:r>
        <w:t>（三）本项目是否单位自行组织采购：否</w:t>
      </w:r>
    </w:p>
    <w:p>
      <w:pPr>
        <w:pStyle w:val="4"/>
        <w:ind w:firstLine="200" w:firstLineChars="100"/>
      </w:pPr>
      <w:r>
        <w:t>（四）采购包划分：不分包采购</w:t>
      </w:r>
    </w:p>
    <w:p>
      <w:pPr>
        <w:pStyle w:val="4"/>
        <w:ind w:firstLine="200" w:firstLineChars="100"/>
        <w:rPr>
          <w:rFonts w:hint="eastAsia" w:eastAsiaTheme="minorEastAsia"/>
          <w:lang w:eastAsia="zh-CN"/>
        </w:rPr>
      </w:pPr>
      <w:r>
        <w:t>（五）执行政府采购促进中小企业发展的相关政策</w:t>
      </w:r>
      <w:r>
        <w:rPr>
          <w:rFonts w:hint="eastAsia"/>
          <w:lang w:eastAsia="zh-CN"/>
        </w:rPr>
        <w:t>：</w:t>
      </w:r>
    </w:p>
    <w:p>
      <w:pPr>
        <w:pStyle w:val="4"/>
        <w:ind w:left="598" w:leftChars="285" w:firstLine="0" w:firstLineChars="0"/>
      </w:pPr>
      <w:r>
        <w:t>本项目专门面向中小企业采购。面向中小企业采购金额为1915000.00元，总体预留比例为100.00%，其中，面向小微企业采购金额为0.00元，占0%。</w:t>
      </w:r>
    </w:p>
    <w:p>
      <w:pPr>
        <w:pStyle w:val="4"/>
        <w:ind w:firstLine="200" w:firstLineChars="100"/>
      </w:pPr>
      <w:r>
        <w:t>（六）是否采购环境标识产品：否</w:t>
      </w:r>
    </w:p>
    <w:p>
      <w:pPr>
        <w:pStyle w:val="4"/>
        <w:ind w:firstLine="200" w:firstLineChars="100"/>
      </w:pPr>
      <w:r>
        <w:t>（七）是否采购节能产品：否</w:t>
      </w:r>
    </w:p>
    <w:p>
      <w:pPr>
        <w:pStyle w:val="4"/>
        <w:ind w:firstLine="200" w:firstLineChars="100"/>
      </w:pPr>
      <w:r>
        <w:t>（八）项目的采购标的是否包含进口产品：否</w:t>
      </w:r>
    </w:p>
    <w:p>
      <w:pPr>
        <w:pStyle w:val="4"/>
        <w:ind w:firstLine="200" w:firstLineChars="100"/>
      </w:pPr>
      <w:r>
        <w:t>（九）采购标的是否属于政府购买服务：否</w:t>
      </w:r>
    </w:p>
    <w:p>
      <w:pPr>
        <w:pStyle w:val="4"/>
        <w:ind w:firstLine="200" w:firstLineChars="100"/>
      </w:pPr>
      <w:r>
        <w:t>（十）是否属于政务信息系统项目：否</w:t>
      </w:r>
    </w:p>
    <w:p>
      <w:pPr>
        <w:pStyle w:val="4"/>
        <w:ind w:firstLine="200" w:firstLineChars="100"/>
      </w:pPr>
      <w:r>
        <w:t>（十一）是否属于高校、科研院所的科研仪器设备采购：否</w:t>
      </w:r>
    </w:p>
    <w:p>
      <w:pPr>
        <w:pStyle w:val="4"/>
        <w:ind w:firstLine="200" w:firstLineChars="100"/>
      </w:pPr>
      <w:r>
        <w:t>（十二）是否属于PPP项目：否</w:t>
      </w:r>
    </w:p>
    <w:p>
      <w:pPr>
        <w:pStyle w:val="4"/>
        <w:ind w:firstLine="200" w:firstLineChars="100"/>
      </w:pPr>
      <w:r>
        <w:t>（十三）是否属于一签多年项目：否</w:t>
      </w:r>
    </w:p>
    <w:p>
      <w:pPr>
        <w:pStyle w:val="4"/>
        <w:outlineLvl w:val="2"/>
      </w:pPr>
      <w:r>
        <w:rPr>
          <w:b/>
          <w:sz w:val="28"/>
        </w:rPr>
        <w:t>四、项目需求及分包情况、采购标的</w:t>
      </w:r>
    </w:p>
    <w:p>
      <w:pPr>
        <w:pStyle w:val="4"/>
        <w:outlineLvl w:val="4"/>
      </w:pPr>
      <w:r>
        <w:rPr>
          <w:b/>
          <w:sz w:val="20"/>
        </w:rPr>
        <w:t>（一）分包名称：合同包一</w:t>
      </w:r>
    </w:p>
    <w:p>
      <w:pPr>
        <w:pStyle w:val="4"/>
        <w:ind w:firstLine="200" w:firstLineChars="100"/>
      </w:pPr>
      <w:r>
        <w:t>1、执行政府采购促进中小企业发展的相关政策</w:t>
      </w:r>
    </w:p>
    <w:p>
      <w:pPr>
        <w:pStyle w:val="4"/>
        <w:ind w:firstLine="400" w:firstLineChars="200"/>
      </w:pPr>
      <w:r>
        <w:rPr>
          <w:color w:val="000000"/>
        </w:rPr>
        <w:t>1)</w:t>
      </w:r>
      <w:r>
        <w:t>专门面向中小企业采购</w:t>
      </w:r>
    </w:p>
    <w:p>
      <w:pPr>
        <w:pStyle w:val="4"/>
        <w:ind w:firstLine="400" w:firstLineChars="200"/>
      </w:pPr>
      <w:r>
        <w:rPr>
          <w:color w:val="000000"/>
        </w:rPr>
        <w:t>2)面向的企业规模：</w:t>
      </w:r>
      <w:r>
        <w:t>中小企业</w:t>
      </w:r>
    </w:p>
    <w:p>
      <w:pPr>
        <w:pStyle w:val="4"/>
        <w:ind w:firstLine="400" w:firstLineChars="200"/>
      </w:pPr>
      <w:r>
        <w:rPr>
          <w:color w:val="000000"/>
        </w:rPr>
        <w:t>3)预留形式：</w:t>
      </w:r>
      <w:r>
        <w:t>设置专门采购包</w:t>
      </w:r>
    </w:p>
    <w:p>
      <w:pPr>
        <w:pStyle w:val="4"/>
        <w:ind w:firstLine="400" w:firstLineChars="200"/>
      </w:pPr>
      <w:r>
        <w:rPr>
          <w:color w:val="000000"/>
        </w:rPr>
        <w:t>4)预留比例：</w:t>
      </w:r>
      <w:r>
        <w:t>100%</w:t>
      </w:r>
    </w:p>
    <w:p>
      <w:pPr>
        <w:pStyle w:val="4"/>
        <w:ind w:firstLine="200" w:firstLineChars="100"/>
      </w:pPr>
      <w:r>
        <w:t>2、预算金额（元）：1,915,500.00 ，大写（人民币）： 壹佰玖拾壹万伍仟伍佰元整</w:t>
      </w:r>
    </w:p>
    <w:p>
      <w:pPr>
        <w:pStyle w:val="4"/>
        <w:ind w:firstLine="600" w:firstLineChars="300"/>
      </w:pPr>
      <w:r>
        <w:t>最高限价（元）： 1,915,000.00 ，大写（人民币）： 壹佰玖拾壹万伍仟元整</w:t>
      </w:r>
    </w:p>
    <w:p>
      <w:pPr>
        <w:pStyle w:val="4"/>
        <w:ind w:firstLine="200" w:firstLineChars="100"/>
      </w:pPr>
      <w:r>
        <w:t>3、评审方法：综合评分法</w:t>
      </w:r>
    </w:p>
    <w:p>
      <w:pPr>
        <w:pStyle w:val="4"/>
        <w:ind w:firstLine="200" w:firstLineChars="100"/>
      </w:pPr>
      <w:r>
        <w:t>4、定价方式：固定总价</w:t>
      </w:r>
    </w:p>
    <w:p>
      <w:pPr>
        <w:pStyle w:val="4"/>
        <w:ind w:firstLine="200" w:firstLineChars="100"/>
      </w:pPr>
      <w:r>
        <w:t>5、是否支持联合体投标：否</w:t>
      </w:r>
    </w:p>
    <w:p>
      <w:pPr>
        <w:pStyle w:val="4"/>
        <w:ind w:firstLine="200" w:firstLineChars="100"/>
      </w:pPr>
      <w:r>
        <w:t>6、是否允许合同分包选项：否</w:t>
      </w:r>
    </w:p>
    <w:p>
      <w:pPr>
        <w:pStyle w:val="4"/>
      </w:pPr>
      <w:r>
        <w:t>7、拟采购标的的技术要求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vAlign w:val="center"/>
          </w:tcPr>
          <w:p>
            <w:pPr>
              <w:pStyle w:val="4"/>
              <w:jc w:val="center"/>
            </w:pPr>
            <w:r>
              <w:t>1</w:t>
            </w:r>
          </w:p>
        </w:tc>
        <w:tc>
          <w:tcPr>
            <w:tcW w:w="1993" w:type="dxa"/>
            <w:vAlign w:val="center"/>
          </w:tcPr>
          <w:p>
            <w:pPr>
              <w:pStyle w:val="4"/>
              <w:jc w:val="center"/>
            </w:pPr>
            <w:r>
              <w:rPr>
                <w:b/>
                <w:color w:val="000000"/>
              </w:rPr>
              <w:t>采购品目</w:t>
            </w:r>
          </w:p>
        </w:tc>
        <w:tc>
          <w:tcPr>
            <w:tcW w:w="1661" w:type="dxa"/>
            <w:vAlign w:val="center"/>
          </w:tcPr>
          <w:p>
            <w:pPr>
              <w:pStyle w:val="4"/>
              <w:jc w:val="both"/>
            </w:pPr>
            <w:r>
              <w:t>其他专业技术服务</w:t>
            </w:r>
          </w:p>
        </w:tc>
        <w:tc>
          <w:tcPr>
            <w:tcW w:w="1993" w:type="dxa"/>
            <w:vAlign w:val="center"/>
          </w:tcPr>
          <w:p>
            <w:pPr>
              <w:pStyle w:val="4"/>
              <w:jc w:val="center"/>
            </w:pPr>
            <w:r>
              <w:rPr>
                <w:b/>
                <w:color w:val="000000"/>
              </w:rPr>
              <w:t>标的名称</w:t>
            </w:r>
          </w:p>
        </w:tc>
        <w:tc>
          <w:tcPr>
            <w:tcW w:w="1661" w:type="dxa"/>
            <w:vAlign w:val="center"/>
          </w:tcPr>
          <w:p>
            <w:pPr>
              <w:pStyle w:val="4"/>
              <w:jc w:val="center"/>
            </w:pPr>
            <w:r>
              <w:t>2022年耕地进出平衡工作技术服务费项目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数量</w:t>
            </w:r>
          </w:p>
        </w:tc>
        <w:tc>
          <w:tcPr>
            <w:tcW w:w="1661" w:type="dxa"/>
            <w:vAlign w:val="center"/>
          </w:tcPr>
          <w:p>
            <w:pPr>
              <w:pStyle w:val="4"/>
              <w:jc w:val="center"/>
            </w:pPr>
            <w:r>
              <w:t>1.00</w:t>
            </w:r>
          </w:p>
        </w:tc>
        <w:tc>
          <w:tcPr>
            <w:tcW w:w="1993" w:type="dxa"/>
            <w:vAlign w:val="center"/>
          </w:tcPr>
          <w:p>
            <w:pPr>
              <w:pStyle w:val="4"/>
              <w:jc w:val="center"/>
            </w:pPr>
            <w:r>
              <w:rPr>
                <w:b/>
                <w:color w:val="000000"/>
              </w:rPr>
              <w:t>单位</w:t>
            </w:r>
          </w:p>
        </w:tc>
        <w:tc>
          <w:tcPr>
            <w:tcW w:w="1661" w:type="dxa"/>
            <w:vAlign w:val="center"/>
          </w:tcPr>
          <w:p>
            <w:pPr>
              <w:pStyle w:val="4"/>
              <w:jc w:val="center"/>
            </w:pPr>
            <w:r>
              <w:t>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合计金额（元）</w:t>
            </w:r>
          </w:p>
        </w:tc>
        <w:tc>
          <w:tcPr>
            <w:tcW w:w="1661" w:type="dxa"/>
            <w:vAlign w:val="center"/>
          </w:tcPr>
          <w:p>
            <w:pPr>
              <w:pStyle w:val="4"/>
              <w:jc w:val="center"/>
            </w:pPr>
            <w:r>
              <w:t>1,915,000.00</w:t>
            </w:r>
          </w:p>
        </w:tc>
        <w:tc>
          <w:tcPr>
            <w:tcW w:w="1993" w:type="dxa"/>
            <w:vAlign w:val="center"/>
          </w:tcPr>
          <w:p>
            <w:pPr>
              <w:pStyle w:val="4"/>
              <w:jc w:val="center"/>
            </w:pPr>
            <w:r>
              <w:rPr>
                <w:b/>
                <w:color w:val="000000"/>
              </w:rPr>
              <w:t>单价（元）</w:t>
            </w:r>
          </w:p>
        </w:tc>
        <w:tc>
          <w:tcPr>
            <w:tcW w:w="1661" w:type="dxa"/>
            <w:vAlign w:val="center"/>
          </w:tcPr>
          <w:p>
            <w:pPr>
              <w:pStyle w:val="4"/>
              <w:jc w:val="center"/>
            </w:pPr>
            <w:r>
              <w:t>1,915,000.00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vAlign w:val="center"/>
          </w:tcPr>
          <w:p>
            <w:pPr>
              <w:pStyle w:val="4"/>
              <w:jc w:val="center"/>
            </w:pPr>
            <w:r>
              <w:rPr>
                <w:b/>
                <w:color w:val="000000"/>
              </w:rPr>
              <w:t>是否采购节能产品</w:t>
            </w:r>
          </w:p>
        </w:tc>
        <w:tc>
          <w:tcPr>
            <w:tcW w:w="1661" w:type="dxa"/>
            <w:vAlign w:val="center"/>
          </w:tcPr>
          <w:p>
            <w:pPr>
              <w:pStyle w:val="4"/>
              <w:jc w:val="center"/>
            </w:pPr>
            <w:r>
              <w:t>否</w:t>
            </w:r>
          </w:p>
        </w:tc>
        <w:tc>
          <w:tcPr>
            <w:tcW w:w="1993" w:type="dxa"/>
            <w:vAlign w:val="center"/>
          </w:tcPr>
          <w:p>
            <w:pPr>
              <w:pStyle w:val="4"/>
              <w:jc w:val="center"/>
            </w:pPr>
            <w:r>
              <w:rPr>
                <w:b/>
                <w:color w:val="000000"/>
              </w:rPr>
              <w:t>未采购节能产品原因</w:t>
            </w:r>
          </w:p>
        </w:tc>
        <w:tc>
          <w:tcPr>
            <w:tcW w:w="1661" w:type="dxa"/>
            <w:vAlign w:val="center"/>
          </w:tcPr>
          <w:p>
            <w:pPr>
              <w:pStyle w:val="4"/>
              <w:jc w:val="center"/>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vAlign w:val="center"/>
          </w:tcPr>
          <w:p>
            <w:pPr>
              <w:pStyle w:val="4"/>
              <w:jc w:val="center"/>
            </w:pPr>
            <w:r>
              <w:rPr>
                <w:b/>
                <w:color w:val="000000"/>
              </w:rPr>
              <w:t>是否采购环保产品</w:t>
            </w:r>
          </w:p>
        </w:tc>
        <w:tc>
          <w:tcPr>
            <w:tcW w:w="1661" w:type="dxa"/>
            <w:vAlign w:val="center"/>
          </w:tcPr>
          <w:p>
            <w:pPr>
              <w:pStyle w:val="4"/>
              <w:jc w:val="center"/>
            </w:pPr>
            <w:r>
              <w:t>否</w:t>
            </w:r>
          </w:p>
        </w:tc>
        <w:tc>
          <w:tcPr>
            <w:tcW w:w="1993" w:type="dxa"/>
            <w:vAlign w:val="center"/>
          </w:tcPr>
          <w:p>
            <w:pPr>
              <w:pStyle w:val="4"/>
              <w:jc w:val="center"/>
            </w:pPr>
            <w:r>
              <w:rPr>
                <w:b/>
                <w:color w:val="000000"/>
              </w:rPr>
              <w:t>未采购环保产品原因</w:t>
            </w:r>
          </w:p>
        </w:tc>
        <w:tc>
          <w:tcPr>
            <w:tcW w:w="1661" w:type="dxa"/>
            <w:vAlign w:val="center"/>
          </w:tcPr>
          <w:p>
            <w:pPr>
              <w:pStyle w:val="4"/>
              <w:jc w:val="center"/>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vAlign w:val="center"/>
          </w:tcPr>
          <w:p>
            <w:pPr>
              <w:pStyle w:val="4"/>
              <w:jc w:val="center"/>
            </w:pPr>
            <w:r>
              <w:rPr>
                <w:b/>
                <w:color w:val="000000"/>
              </w:rPr>
              <w:t>是否采购进口产品</w:t>
            </w:r>
          </w:p>
        </w:tc>
        <w:tc>
          <w:tcPr>
            <w:tcW w:w="1661" w:type="dxa"/>
            <w:vAlign w:val="center"/>
          </w:tcPr>
          <w:p>
            <w:pPr>
              <w:pStyle w:val="4"/>
              <w:jc w:val="center"/>
            </w:pPr>
            <w:r>
              <w:t>否</w:t>
            </w:r>
          </w:p>
        </w:tc>
        <w:tc>
          <w:tcPr>
            <w:tcW w:w="1993" w:type="dxa"/>
            <w:vAlign w:val="center"/>
          </w:tcPr>
          <w:p>
            <w:pPr>
              <w:pStyle w:val="4"/>
              <w:jc w:val="center"/>
            </w:pPr>
            <w:r>
              <w:rPr>
                <w:b/>
                <w:color w:val="000000"/>
              </w:rPr>
              <w:t>标的物所属行业</w:t>
            </w:r>
          </w:p>
        </w:tc>
        <w:tc>
          <w:tcPr>
            <w:tcW w:w="1661" w:type="dxa"/>
            <w:vAlign w:val="center"/>
          </w:tcPr>
          <w:p>
            <w:pPr>
              <w:pStyle w:val="4"/>
              <w:jc w:val="center"/>
            </w:pPr>
            <w:r>
              <w:t>其他未列明行业</w:t>
            </w:r>
          </w:p>
        </w:tc>
      </w:tr>
    </w:tbl>
    <w:p>
      <w:pPr>
        <w:pStyle w:val="4"/>
      </w:pPr>
    </w:p>
    <w:p>
      <w:pPr>
        <w:pStyle w:val="4"/>
      </w:pPr>
    </w:p>
    <w:p>
      <w:pPr>
        <w:pStyle w:val="4"/>
      </w:pPr>
      <w:r>
        <w:t>标的名称：2022年耕地进出平衡工作技术服务费项目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CellMar>
            <w:top w:w="0" w:type="dxa"/>
            <w:left w:w="108" w:type="dxa"/>
            <w:bottom w:w="0" w:type="dxa"/>
            <w:right w:w="108" w:type="dxa"/>
          </w:tblCellMar>
        </w:tblPrEx>
        <w:tc>
          <w:tcPr>
            <w:tcW w:w="2769" w:type="dxa"/>
            <w:vAlign w:val="center"/>
          </w:tcPr>
          <w:p>
            <w:pPr>
              <w:pStyle w:val="4"/>
              <w:jc w:val="center"/>
            </w:pPr>
            <w:r>
              <w:t>参数性质</w:t>
            </w:r>
          </w:p>
        </w:tc>
        <w:tc>
          <w:tcPr>
            <w:tcW w:w="2769" w:type="dxa"/>
            <w:vAlign w:val="center"/>
          </w:tcPr>
          <w:p>
            <w:pPr>
              <w:pStyle w:val="4"/>
              <w:jc w:val="center"/>
            </w:pPr>
            <w:r>
              <w:t>序号</w:t>
            </w:r>
          </w:p>
        </w:tc>
        <w:tc>
          <w:tcPr>
            <w:tcW w:w="2769" w:type="dxa"/>
            <w:vAlign w:val="top"/>
          </w:tcPr>
          <w:p>
            <w:pPr>
              <w:pStyle w:val="4"/>
              <w:jc w:val="left"/>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w:t>
            </w:r>
          </w:p>
        </w:tc>
        <w:tc>
          <w:tcPr>
            <w:tcW w:w="2769" w:type="dxa"/>
            <w:vAlign w:val="center"/>
          </w:tcPr>
          <w:p>
            <w:pPr>
              <w:pStyle w:val="4"/>
              <w:jc w:val="center"/>
            </w:pPr>
            <w:r>
              <w:t>1</w:t>
            </w:r>
          </w:p>
        </w:tc>
        <w:tc>
          <w:tcPr>
            <w:tcW w:w="2769" w:type="dxa"/>
            <w:vAlign w:val="top"/>
          </w:tcPr>
          <w:p>
            <w:pPr>
              <w:pStyle w:val="4"/>
              <w:jc w:val="left"/>
            </w:pPr>
            <w:r>
              <w:t>（一）服务内容</w:t>
            </w:r>
          </w:p>
          <w:p>
            <w:pPr>
              <w:pStyle w:val="4"/>
              <w:jc w:val="left"/>
            </w:pPr>
            <w:r>
              <w:t>结合汉源县实际情况，拟在全县12个乡镇采取“无人机航飞影像→内业提取符合耕地认定矢量图斑→外业举证”最终形成恢复耕地成果数据的工作模式。</w:t>
            </w:r>
          </w:p>
          <w:p>
            <w:pPr>
              <w:pStyle w:val="4"/>
              <w:jc w:val="left"/>
            </w:pPr>
            <w:r>
              <w:t>按照“无人机航飞影像→内业提取符合耕地认定矢量图斑→外业举证”工作模式，航飞12个乡镇约897km2影像，提取图斑，找回耕地，完成汉源县2022年耕地进出平衡恢复任务1800亩举证工作。协助采购人顺利完成2022年耕地进出平衡考核工作，对一些文档资料进行整理、存档，相关的数据资料整合；协助跟进相关技术性及相关业务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w:t>
            </w:r>
          </w:p>
        </w:tc>
        <w:tc>
          <w:tcPr>
            <w:tcW w:w="2769" w:type="dxa"/>
            <w:vAlign w:val="center"/>
          </w:tcPr>
          <w:p>
            <w:pPr>
              <w:pStyle w:val="4"/>
              <w:jc w:val="center"/>
            </w:pPr>
            <w:r>
              <w:t>2</w:t>
            </w:r>
          </w:p>
        </w:tc>
        <w:tc>
          <w:tcPr>
            <w:tcW w:w="2769" w:type="dxa"/>
            <w:vAlign w:val="top"/>
          </w:tcPr>
          <w:p>
            <w:pPr>
              <w:pStyle w:val="4"/>
              <w:jc w:val="left"/>
            </w:pPr>
            <w:r>
              <w:t>（二）服务要求</w:t>
            </w:r>
          </w:p>
          <w:p>
            <w:pPr>
              <w:pStyle w:val="4"/>
              <w:jc w:val="left"/>
            </w:pPr>
            <w:r>
              <w:t>需常驻汉源县3名技术服务人员，一位熟悉档案整理且具备相关资质，另两位人员中至少有一名熟悉空间信息与数字技术且能够熟练操作ArcGIS。在技术服务内容范围内，根据采购方的工作需求增加服务人员。</w:t>
            </w:r>
          </w:p>
          <w:p>
            <w:pPr>
              <w:pStyle w:val="4"/>
              <w:jc w:val="left"/>
            </w:pPr>
            <w:r>
              <w:t>统筹分析不合理流出耕地恢复和2022年已恢复耕地情况，逐图斑进行核实，确保符合土地调查规程的耕地认定标准相关的要求，及时进行举证并纳入2022年度国土变更调查“二上”成果，全力补足2022年度国土变更调查耕地“进出平衡”的缺口，确保2022年度耕地“进出平衡”考核顺利通过。</w:t>
            </w:r>
          </w:p>
        </w:tc>
      </w:tr>
      <w:tr>
        <w:tblPrEx>
          <w:tblCellMar>
            <w:top w:w="0" w:type="dxa"/>
            <w:left w:w="108" w:type="dxa"/>
            <w:bottom w:w="0" w:type="dxa"/>
            <w:right w:w="108" w:type="dxa"/>
          </w:tblCellMar>
        </w:tblPrEx>
        <w:tc>
          <w:tcPr>
            <w:tcW w:w="2769" w:type="dxa"/>
            <w:vAlign w:val="center"/>
          </w:tcPr>
          <w:p>
            <w:pPr>
              <w:pStyle w:val="4"/>
              <w:jc w:val="center"/>
            </w:pPr>
          </w:p>
        </w:tc>
        <w:tc>
          <w:tcPr>
            <w:tcW w:w="2769" w:type="dxa"/>
            <w:vAlign w:val="center"/>
          </w:tcPr>
          <w:p>
            <w:pPr>
              <w:pStyle w:val="4"/>
              <w:jc w:val="center"/>
            </w:pPr>
            <w:r>
              <w:t>3</w:t>
            </w:r>
          </w:p>
        </w:tc>
        <w:tc>
          <w:tcPr>
            <w:tcW w:w="2769" w:type="dxa"/>
            <w:vAlign w:val="top"/>
          </w:tcPr>
          <w:p>
            <w:pPr>
              <w:pStyle w:val="4"/>
              <w:jc w:val="left"/>
            </w:pPr>
            <w:r>
              <w:t>(三）其他要求：需由供应商为本项目提供服务方案包括：1.项目实施方案：①技术方案、②管理方案；2.履约能力；3.履约经验；4.人员配置；5.后续服务方案。</w:t>
            </w:r>
          </w:p>
        </w:tc>
      </w:tr>
      <w:tr>
        <w:tblPrEx>
          <w:tblCellMar>
            <w:top w:w="0" w:type="dxa"/>
            <w:left w:w="108" w:type="dxa"/>
            <w:bottom w:w="0" w:type="dxa"/>
            <w:right w:w="108" w:type="dxa"/>
          </w:tblCellMar>
        </w:tblPrEx>
        <w:tc>
          <w:tcPr>
            <w:tcW w:w="2769" w:type="dxa"/>
            <w:vAlign w:val="center"/>
          </w:tcPr>
          <w:p>
            <w:pPr>
              <w:pStyle w:val="4"/>
              <w:jc w:val="center"/>
            </w:pPr>
            <w:r>
              <w:t>★</w:t>
            </w:r>
          </w:p>
        </w:tc>
        <w:tc>
          <w:tcPr>
            <w:tcW w:w="2769" w:type="dxa"/>
            <w:vAlign w:val="center"/>
          </w:tcPr>
          <w:p>
            <w:pPr>
              <w:pStyle w:val="4"/>
              <w:jc w:val="center"/>
            </w:pPr>
            <w:r>
              <w:t>4</w:t>
            </w:r>
          </w:p>
        </w:tc>
        <w:tc>
          <w:tcPr>
            <w:tcW w:w="2769" w:type="dxa"/>
            <w:vAlign w:val="top"/>
          </w:tcPr>
          <w:p>
            <w:pPr>
              <w:pStyle w:val="4"/>
              <w:jc w:val="left"/>
            </w:pPr>
            <w:r>
              <w:t>（四）商务要求</w:t>
            </w:r>
          </w:p>
          <w:p>
            <w:pPr>
              <w:pStyle w:val="4"/>
              <w:jc w:val="left"/>
            </w:pPr>
            <w:r>
              <w:t>1、服务时间</w:t>
            </w:r>
          </w:p>
          <w:p>
            <w:pPr>
              <w:pStyle w:val="4"/>
              <w:jc w:val="left"/>
            </w:pPr>
            <w:r>
              <w:t>合同签订之日起90日内提交项目成果。</w:t>
            </w:r>
          </w:p>
          <w:p>
            <w:pPr>
              <w:pStyle w:val="4"/>
              <w:jc w:val="left"/>
            </w:pPr>
            <w:r>
              <w:t>2、服务地点</w:t>
            </w:r>
          </w:p>
          <w:p>
            <w:pPr>
              <w:pStyle w:val="4"/>
              <w:jc w:val="left"/>
            </w:pPr>
            <w:r>
              <w:t>汉源县。</w:t>
            </w:r>
          </w:p>
          <w:p>
            <w:pPr>
              <w:pStyle w:val="4"/>
              <w:jc w:val="left"/>
            </w:pPr>
            <w:r>
              <w:t>3、付款方式</w:t>
            </w:r>
          </w:p>
          <w:p>
            <w:pPr>
              <w:pStyle w:val="4"/>
              <w:jc w:val="left"/>
            </w:pPr>
            <w:r>
              <w:t>自成交供应商与采购人签订合同起，待数据成果通过省级核查且成交供应商向采购人出具合法有效完整的完税发票及凭证资料后，达到付款条件起30日内一次性支付合同总金额的100%。</w:t>
            </w:r>
          </w:p>
          <w:p>
            <w:pPr>
              <w:pStyle w:val="4"/>
              <w:jc w:val="left"/>
            </w:pPr>
            <w:r>
              <w:t>4、成果验收</w:t>
            </w:r>
          </w:p>
          <w:p>
            <w:pPr>
              <w:pStyle w:val="4"/>
              <w:jc w:val="left"/>
            </w:pPr>
            <w:r>
              <w:t>项目采购人将严格按照《财政部关于进一步加强政府采购需求和履约验收管理的指导意见》的通知（财库〔2016〕205号）的要求及国家行业主管部门规定的标准、方法和内容进行验收。</w:t>
            </w:r>
          </w:p>
        </w:tc>
      </w:tr>
      <w:tr>
        <w:tblPrEx>
          <w:tblCellMar>
            <w:top w:w="0" w:type="dxa"/>
            <w:left w:w="108" w:type="dxa"/>
            <w:bottom w:w="0" w:type="dxa"/>
            <w:right w:w="108" w:type="dxa"/>
          </w:tblCellMar>
        </w:tblPrEx>
        <w:tc>
          <w:tcPr>
            <w:tcW w:w="2769" w:type="dxa"/>
            <w:vAlign w:val="center"/>
          </w:tcPr>
          <w:p>
            <w:pPr>
              <w:pStyle w:val="4"/>
              <w:jc w:val="center"/>
            </w:pPr>
          </w:p>
        </w:tc>
        <w:tc>
          <w:tcPr>
            <w:tcW w:w="2769" w:type="dxa"/>
            <w:vAlign w:val="center"/>
          </w:tcPr>
          <w:p>
            <w:pPr>
              <w:pStyle w:val="4"/>
              <w:jc w:val="center"/>
            </w:pPr>
            <w:r>
              <w:t>5</w:t>
            </w:r>
          </w:p>
        </w:tc>
        <w:tc>
          <w:tcPr>
            <w:tcW w:w="2769" w:type="dxa"/>
            <w:vAlign w:val="center"/>
          </w:tcPr>
          <w:p>
            <w:pPr>
              <w:pStyle w:val="4"/>
              <w:jc w:val="both"/>
            </w:pPr>
            <w:r>
              <w:t>（五）违约责任</w:t>
            </w:r>
          </w:p>
          <w:p>
            <w:pPr>
              <w:pStyle w:val="4"/>
              <w:jc w:val="both"/>
            </w:pPr>
            <w:r>
              <w:t>1、甲乙双方必须遵守本合同并执行合同中的各项规定，保证本合同的正常履行。</w:t>
            </w:r>
          </w:p>
          <w:p>
            <w:pPr>
              <w:pStyle w:val="4"/>
              <w:jc w:val="both"/>
            </w:pPr>
            <w:r>
              <w:t>2、如因供应商工作人员在履行职务过程中的疏忽、失职、过错等故意或者过失原因对甲方造成的损失或者侵害，包括甲方本身的财产损失及由此产生的第三方法律责任等，供应商应对此承担不超过合同总额的赔偿责任。</w:t>
            </w:r>
          </w:p>
        </w:tc>
      </w:tr>
      <w:tr>
        <w:tblPrEx>
          <w:tblCellMar>
            <w:top w:w="0" w:type="dxa"/>
            <w:left w:w="108" w:type="dxa"/>
            <w:bottom w:w="0" w:type="dxa"/>
            <w:right w:w="108" w:type="dxa"/>
          </w:tblCellMar>
        </w:tblPrEx>
        <w:tc>
          <w:tcPr>
            <w:tcW w:w="2769" w:type="dxa"/>
            <w:vAlign w:val="center"/>
          </w:tcPr>
          <w:p>
            <w:pPr>
              <w:pStyle w:val="4"/>
              <w:jc w:val="center"/>
            </w:pPr>
          </w:p>
        </w:tc>
        <w:tc>
          <w:tcPr>
            <w:tcW w:w="2769" w:type="dxa"/>
            <w:vAlign w:val="center"/>
          </w:tcPr>
          <w:p>
            <w:pPr>
              <w:pStyle w:val="4"/>
              <w:jc w:val="center"/>
            </w:pPr>
            <w:r>
              <w:t>6</w:t>
            </w:r>
          </w:p>
        </w:tc>
        <w:tc>
          <w:tcPr>
            <w:tcW w:w="2769" w:type="dxa"/>
            <w:vAlign w:val="center"/>
          </w:tcPr>
          <w:p>
            <w:pPr>
              <w:pStyle w:val="4"/>
              <w:jc w:val="both"/>
            </w:pPr>
            <w:r>
              <w:t>（六）争议解决办法</w:t>
            </w:r>
          </w:p>
          <w:p>
            <w:pPr>
              <w:pStyle w:val="4"/>
              <w:jc w:val="both"/>
            </w:pPr>
            <w:r>
              <w:t>1、在执行本合同中发生的或与本合同有关的争端，双方应通过友好协商解决，经协商在15日内不能达成协议时，应提交甲方所在地人民法院诉讼解决。</w:t>
            </w:r>
          </w:p>
          <w:p>
            <w:pPr>
              <w:pStyle w:val="4"/>
              <w:jc w:val="both"/>
            </w:pPr>
            <w:r>
              <w:t>2、在诉讼期间，除正在进行诉讼部分外，合同其他部分继续进行。</w:t>
            </w:r>
          </w:p>
        </w:tc>
      </w:tr>
      <w:tr>
        <w:tblPrEx>
          <w:tblCellMar>
            <w:top w:w="0" w:type="dxa"/>
            <w:left w:w="108" w:type="dxa"/>
            <w:bottom w:w="0" w:type="dxa"/>
            <w:right w:w="108" w:type="dxa"/>
          </w:tblCellMar>
        </w:tblPrEx>
        <w:tc>
          <w:tcPr>
            <w:tcW w:w="2769" w:type="dxa"/>
            <w:vAlign w:val="center"/>
          </w:tcPr>
          <w:p>
            <w:pPr>
              <w:pStyle w:val="4"/>
              <w:jc w:val="center"/>
            </w:pPr>
          </w:p>
        </w:tc>
        <w:tc>
          <w:tcPr>
            <w:tcW w:w="2769" w:type="dxa"/>
            <w:vAlign w:val="center"/>
          </w:tcPr>
          <w:p>
            <w:pPr>
              <w:pStyle w:val="4"/>
              <w:jc w:val="center"/>
            </w:pPr>
            <w:r>
              <w:t>7</w:t>
            </w:r>
          </w:p>
        </w:tc>
        <w:tc>
          <w:tcPr>
            <w:tcW w:w="2769" w:type="dxa"/>
            <w:vAlign w:val="center"/>
          </w:tcPr>
          <w:p>
            <w:pPr>
              <w:pStyle w:val="4"/>
              <w:jc w:val="both"/>
            </w:pPr>
            <w:r>
              <w:t>（七）其他相关事宜</w:t>
            </w:r>
          </w:p>
          <w:p>
            <w:pPr>
              <w:pStyle w:val="4"/>
              <w:jc w:val="both"/>
            </w:pPr>
            <w:r>
              <w:t>1、本章的要求不能作为资格性条件要求评审。</w:t>
            </w:r>
          </w:p>
          <w:p>
            <w:pPr>
              <w:pStyle w:val="4"/>
              <w:jc w:val="both"/>
            </w:pPr>
            <w:r>
              <w:t>2、本项目涉及企业资质、产品认证、人员执业资格等描述与国家最新要求不一致时以最新要求为准。</w:t>
            </w:r>
          </w:p>
        </w:tc>
      </w:tr>
    </w:tbl>
    <w:p>
      <w:pPr>
        <w:pStyle w:val="4"/>
      </w:pPr>
      <w: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序号</w:t>
            </w:r>
          </w:p>
        </w:tc>
        <w:tc>
          <w:tcPr>
            <w:tcW w:w="2769" w:type="dxa"/>
            <w:vAlign w:val="center"/>
          </w:tcPr>
          <w:p>
            <w:pPr>
              <w:pStyle w:val="4"/>
              <w:jc w:val="center"/>
            </w:pPr>
            <w:r>
              <w:t>资格要求名称</w:t>
            </w:r>
          </w:p>
        </w:tc>
        <w:tc>
          <w:tcPr>
            <w:tcW w:w="2769" w:type="dxa"/>
            <w:vAlign w:val="top"/>
          </w:tcPr>
          <w:p>
            <w:pPr>
              <w:pStyle w:val="4"/>
              <w:jc w:val="both"/>
            </w:pPr>
            <w:r>
              <w:t>资格要求详细说明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1</w:t>
            </w:r>
          </w:p>
        </w:tc>
        <w:tc>
          <w:tcPr>
            <w:tcW w:w="2769" w:type="dxa"/>
            <w:vAlign w:val="center"/>
          </w:tcPr>
          <w:p>
            <w:pPr>
              <w:pStyle w:val="4"/>
              <w:jc w:val="center"/>
            </w:pPr>
            <w:r>
              <w:t>具有独立承担民事责任的能力。</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2</w:t>
            </w:r>
          </w:p>
        </w:tc>
        <w:tc>
          <w:tcPr>
            <w:tcW w:w="2769" w:type="dxa"/>
            <w:vAlign w:val="center"/>
          </w:tcPr>
          <w:p>
            <w:pPr>
              <w:pStyle w:val="4"/>
              <w:jc w:val="center"/>
            </w:pPr>
            <w:r>
              <w:t>具有良好的商业信誉</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3</w:t>
            </w:r>
          </w:p>
        </w:tc>
        <w:tc>
          <w:tcPr>
            <w:tcW w:w="2769" w:type="dxa"/>
            <w:vAlign w:val="center"/>
          </w:tcPr>
          <w:p>
            <w:pPr>
              <w:pStyle w:val="4"/>
              <w:jc w:val="center"/>
            </w:pPr>
            <w:r>
              <w:t>具有健全的财务会计制度。</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4</w:t>
            </w:r>
          </w:p>
        </w:tc>
        <w:tc>
          <w:tcPr>
            <w:tcW w:w="2769" w:type="dxa"/>
            <w:vAlign w:val="center"/>
          </w:tcPr>
          <w:p>
            <w:pPr>
              <w:pStyle w:val="4"/>
              <w:jc w:val="center"/>
            </w:pPr>
            <w:r>
              <w:t>具有履行合同所必需的设备和专业技术能力。</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5</w:t>
            </w:r>
          </w:p>
        </w:tc>
        <w:tc>
          <w:tcPr>
            <w:tcW w:w="2769" w:type="dxa"/>
            <w:vAlign w:val="center"/>
          </w:tcPr>
          <w:p>
            <w:pPr>
              <w:pStyle w:val="4"/>
              <w:jc w:val="center"/>
            </w:pPr>
            <w:r>
              <w:t>有依法缴纳税收和社会保障资金的良好记录。</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6</w:t>
            </w:r>
          </w:p>
        </w:tc>
        <w:tc>
          <w:tcPr>
            <w:tcW w:w="2769" w:type="dxa"/>
            <w:vAlign w:val="center"/>
          </w:tcPr>
          <w:p>
            <w:pPr>
              <w:pStyle w:val="4"/>
              <w:jc w:val="center"/>
            </w:pPr>
            <w:r>
              <w:t>参加政府采购活动前三年内，在经营活动中没有重大违法记录。</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7</w:t>
            </w:r>
          </w:p>
        </w:tc>
        <w:tc>
          <w:tcPr>
            <w:tcW w:w="2769" w:type="dxa"/>
            <w:vAlign w:val="center"/>
          </w:tcPr>
          <w:p>
            <w:pPr>
              <w:pStyle w:val="4"/>
              <w:jc w:val="center"/>
            </w:pPr>
            <w:r>
              <w:t>不存在与单位负责人为同一人或者存在直接控股、管理关系的其他供应商参与同一合同项下的政府采购活动的行为。</w:t>
            </w:r>
          </w:p>
        </w:tc>
        <w:tc>
          <w:tcPr>
            <w:tcW w:w="2769" w:type="dxa"/>
            <w:vAlign w:val="top"/>
          </w:tcPr>
          <w:p>
            <w:pPr>
              <w:pStyle w:val="4"/>
              <w:jc w:val="both"/>
            </w:pPr>
            <w:r>
              <w:t>供应商需在项目电子化交易系统中按要求填写《投标（响应）函》完成承诺并进行电子签章。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8</w:t>
            </w:r>
          </w:p>
        </w:tc>
        <w:tc>
          <w:tcPr>
            <w:tcW w:w="2769" w:type="dxa"/>
            <w:vAlign w:val="center"/>
          </w:tcPr>
          <w:p>
            <w:pPr>
              <w:pStyle w:val="4"/>
              <w:jc w:val="center"/>
            </w:pPr>
            <w:r>
              <w:t>不属于为本项目提供整体设计、规范编制或者项目管理、监理、检测等服务的供应商。</w:t>
            </w:r>
          </w:p>
        </w:tc>
        <w:tc>
          <w:tcPr>
            <w:tcW w:w="2769" w:type="dxa"/>
            <w:vAlign w:val="top"/>
          </w:tcPr>
          <w:p>
            <w:pPr>
              <w:pStyle w:val="4"/>
              <w:jc w:val="both"/>
            </w:pPr>
            <w:r>
              <w:t>供应商需在项目电子化交易系统中按要求填写《投标（响应）函》完成承诺并进行电子签章。</w:t>
            </w:r>
          </w:p>
        </w:tc>
      </w:tr>
    </w:tbl>
    <w:p>
      <w:pPr>
        <w:pStyle w:val="4"/>
      </w:pPr>
      <w: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序号</w:t>
            </w:r>
          </w:p>
        </w:tc>
        <w:tc>
          <w:tcPr>
            <w:tcW w:w="2769" w:type="dxa"/>
            <w:vAlign w:val="center"/>
          </w:tcPr>
          <w:p>
            <w:pPr>
              <w:pStyle w:val="4"/>
              <w:jc w:val="center"/>
            </w:pPr>
            <w:r>
              <w:t>资格要求名称</w:t>
            </w:r>
          </w:p>
        </w:tc>
        <w:tc>
          <w:tcPr>
            <w:tcW w:w="2769" w:type="dxa"/>
            <w:vAlign w:val="top"/>
          </w:tcPr>
          <w:p>
            <w:pPr>
              <w:pStyle w:val="4"/>
              <w:jc w:val="both"/>
            </w:pPr>
            <w:r>
              <w:t>资格要求详细说明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Align w:val="center"/>
          </w:tcPr>
          <w:p>
            <w:pPr>
              <w:pStyle w:val="4"/>
              <w:jc w:val="center"/>
            </w:pPr>
            <w:r>
              <w:t>1</w:t>
            </w:r>
          </w:p>
        </w:tc>
        <w:tc>
          <w:tcPr>
            <w:tcW w:w="2769" w:type="dxa"/>
            <w:vAlign w:val="center"/>
          </w:tcPr>
          <w:p>
            <w:pPr>
              <w:pStyle w:val="4"/>
              <w:jc w:val="center"/>
            </w:pPr>
            <w:r>
              <w:t>服务单位必须具备测绘地理信息主管部门核发的乙级及以上《测绘资质证书》</w:t>
            </w:r>
          </w:p>
        </w:tc>
        <w:tc>
          <w:tcPr>
            <w:tcW w:w="2769" w:type="dxa"/>
            <w:vAlign w:val="top"/>
          </w:tcPr>
          <w:p>
            <w:pPr>
              <w:pStyle w:val="4"/>
              <w:jc w:val="both"/>
            </w:pPr>
            <w:r>
              <w:t>服务单位必须具备测绘地理信息主管部门核发的乙级及以上《测绘资质证书》；且业务范围包含：测绘航空摄影、地理信息系统工程。</w:t>
            </w:r>
          </w:p>
        </w:tc>
      </w:tr>
    </w:tbl>
    <w:p>
      <w:pPr>
        <w:pStyle w:val="4"/>
      </w:pPr>
      <w:r>
        <w:t>10、分包的评审条款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评审项编号</w:t>
            </w:r>
          </w:p>
        </w:tc>
        <w:tc>
          <w:tcPr>
            <w:tcW w:w="1384" w:type="dxa"/>
            <w:vAlign w:val="center"/>
          </w:tcPr>
          <w:p>
            <w:pPr>
              <w:pStyle w:val="4"/>
              <w:jc w:val="center"/>
            </w:pPr>
            <w:r>
              <w:t>一级评审项</w:t>
            </w:r>
          </w:p>
        </w:tc>
        <w:tc>
          <w:tcPr>
            <w:tcW w:w="1384" w:type="dxa"/>
            <w:vAlign w:val="center"/>
          </w:tcPr>
          <w:p>
            <w:pPr>
              <w:pStyle w:val="4"/>
              <w:jc w:val="center"/>
            </w:pPr>
            <w:r>
              <w:t>二级评审项</w:t>
            </w:r>
          </w:p>
        </w:tc>
        <w:tc>
          <w:tcPr>
            <w:tcW w:w="1384" w:type="dxa"/>
            <w:vAlign w:val="center"/>
          </w:tcPr>
          <w:p>
            <w:pPr>
              <w:pStyle w:val="4"/>
              <w:jc w:val="center"/>
            </w:pPr>
            <w:r>
              <w:t>详细要求</w:t>
            </w:r>
          </w:p>
        </w:tc>
        <w:tc>
          <w:tcPr>
            <w:tcW w:w="1384" w:type="dxa"/>
            <w:vAlign w:val="center"/>
          </w:tcPr>
          <w:p>
            <w:pPr>
              <w:pStyle w:val="4"/>
              <w:jc w:val="center"/>
            </w:pPr>
            <w:r>
              <w:t>分值</w:t>
            </w:r>
          </w:p>
        </w:tc>
        <w:tc>
          <w:tcPr>
            <w:tcW w:w="1384" w:type="dxa"/>
            <w:vAlign w:val="center"/>
          </w:tcPr>
          <w:p>
            <w:pPr>
              <w:pStyle w:val="4"/>
              <w:jc w:val="center"/>
            </w:pPr>
            <w:r>
              <w:t>客观评审项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1</w:t>
            </w:r>
          </w:p>
        </w:tc>
        <w:tc>
          <w:tcPr>
            <w:tcW w:w="1384" w:type="dxa"/>
            <w:vAlign w:val="center"/>
          </w:tcPr>
          <w:p>
            <w:pPr>
              <w:pStyle w:val="4"/>
              <w:jc w:val="center"/>
            </w:pPr>
            <w:r>
              <w:t>详细评审</w:t>
            </w:r>
          </w:p>
        </w:tc>
        <w:tc>
          <w:tcPr>
            <w:tcW w:w="1384" w:type="dxa"/>
            <w:vAlign w:val="center"/>
          </w:tcPr>
          <w:p>
            <w:pPr>
              <w:pStyle w:val="4"/>
              <w:jc w:val="center"/>
            </w:pPr>
            <w:r>
              <w:t>项目实施方案</w:t>
            </w:r>
          </w:p>
        </w:tc>
        <w:tc>
          <w:tcPr>
            <w:tcW w:w="1384" w:type="dxa"/>
            <w:vAlign w:val="center"/>
          </w:tcPr>
          <w:p>
            <w:pPr>
              <w:pStyle w:val="4"/>
              <w:jc w:val="center"/>
            </w:pPr>
            <w:r>
              <w:t>项目实施方案须充分考虑项目方案的可实施性,编制相关技术方案与管理方案。 技术方案：①项目概况分析、②目标任务理解、③技术标准、④技术路线与方法、⑤工作程序、⑥项目验收计划、⑦效益分析、⑧保密措施、⑨质量保障措施等。 管理方案：①组织机构、②工作职能、③内部管理职责、④日常管理办法等。 上述内容完整详细且满足采购文件要求得39分，每缺失一项扣3分，每有一项(一处)内容存在不足或缺陷的，扣1.5分，扣完为止；不提供方案不得分。（说明：缺陷（或错误）是指在方案中：项目名称或编号错误、采购人单位名称错误、地点区域错误、不适用项目实际采购需求、凭空编造、内容前后不一致、相同内容重复提供、采用的技术明显不符合现行规范要求或引用的行业规范存在明显错误、内容存在明显的交叉混乱、方案明显存在仅复制评分因素题纲内容，而无具体的方案阐述内容、存在明显套用其他方案或明显脱离项目实际情况、所涉及的对应方案或描述与对应小项分析方案无关的等。)</w:t>
            </w:r>
          </w:p>
        </w:tc>
        <w:tc>
          <w:tcPr>
            <w:tcW w:w="1384" w:type="dxa"/>
            <w:vAlign w:val="center"/>
          </w:tcPr>
          <w:p>
            <w:pPr>
              <w:pStyle w:val="4"/>
              <w:jc w:val="center"/>
            </w:pPr>
            <w:r>
              <w:t>39.00</w:t>
            </w:r>
          </w:p>
        </w:tc>
        <w:tc>
          <w:tcPr>
            <w:tcW w:w="1384" w:type="dxa"/>
            <w:vAlign w:val="center"/>
          </w:tcPr>
          <w:p>
            <w:pPr>
              <w:pStyle w:val="4"/>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2</w:t>
            </w:r>
          </w:p>
        </w:tc>
        <w:tc>
          <w:tcPr>
            <w:tcW w:w="1384" w:type="dxa"/>
            <w:vAlign w:val="center"/>
          </w:tcPr>
          <w:p>
            <w:pPr>
              <w:pStyle w:val="4"/>
              <w:jc w:val="center"/>
            </w:pPr>
            <w:r>
              <w:t>详细评审</w:t>
            </w:r>
          </w:p>
        </w:tc>
        <w:tc>
          <w:tcPr>
            <w:tcW w:w="1384" w:type="dxa"/>
            <w:vAlign w:val="center"/>
          </w:tcPr>
          <w:p>
            <w:pPr>
              <w:pStyle w:val="4"/>
              <w:jc w:val="center"/>
            </w:pPr>
            <w:r>
              <w:t>履约能力</w:t>
            </w:r>
          </w:p>
        </w:tc>
        <w:tc>
          <w:tcPr>
            <w:tcW w:w="1384" w:type="dxa"/>
            <w:vAlign w:val="center"/>
          </w:tcPr>
          <w:p>
            <w:pPr>
              <w:pStyle w:val="4"/>
              <w:jc w:val="center"/>
            </w:pPr>
            <w:r>
              <w:t>供应商拟投入本项目设备（本项最多得10分）： 1.无人机飞行系统4套及以上的得5分（含固定翼和多旋翼） 2.遥感影像处理系统5套及以上的得5分。 注：上述设备需提供购买发票复印件或租赁合同复印件，并加盖公章；未提供不得分。</w:t>
            </w:r>
          </w:p>
        </w:tc>
        <w:tc>
          <w:tcPr>
            <w:tcW w:w="1384" w:type="dxa"/>
            <w:vAlign w:val="center"/>
          </w:tcPr>
          <w:p>
            <w:pPr>
              <w:pStyle w:val="4"/>
              <w:jc w:val="center"/>
            </w:pPr>
            <w:r>
              <w:t>10.00</w:t>
            </w:r>
          </w:p>
        </w:tc>
        <w:tc>
          <w:tcPr>
            <w:tcW w:w="1384" w:type="dxa"/>
            <w:vAlign w:val="center"/>
          </w:tcPr>
          <w:p>
            <w:pPr>
              <w:pStyle w:val="4"/>
              <w:jc w:val="center"/>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3</w:t>
            </w:r>
          </w:p>
        </w:tc>
        <w:tc>
          <w:tcPr>
            <w:tcW w:w="1384" w:type="dxa"/>
            <w:vAlign w:val="center"/>
          </w:tcPr>
          <w:p>
            <w:pPr>
              <w:pStyle w:val="4"/>
              <w:jc w:val="center"/>
            </w:pPr>
            <w:r>
              <w:t>详细评审</w:t>
            </w:r>
          </w:p>
        </w:tc>
        <w:tc>
          <w:tcPr>
            <w:tcW w:w="1384" w:type="dxa"/>
            <w:vAlign w:val="center"/>
          </w:tcPr>
          <w:p>
            <w:pPr>
              <w:pStyle w:val="4"/>
              <w:jc w:val="center"/>
            </w:pPr>
            <w:r>
              <w:t>履约经验</w:t>
            </w:r>
          </w:p>
        </w:tc>
        <w:tc>
          <w:tcPr>
            <w:tcW w:w="1384" w:type="dxa"/>
            <w:vAlign w:val="center"/>
          </w:tcPr>
          <w:p>
            <w:pPr>
              <w:pStyle w:val="4"/>
              <w:jc w:val="center"/>
            </w:pPr>
            <w:r>
              <w:t>供应商2021年1月1日以来具有类似项目业绩的，每提供一个得4分，本项满分8分（类似项目业绩指：耕地进出平衡，国土调查类等项目）。 注:提供合同或中标《成交)通知书扫描件并加盖供应商公章。</w:t>
            </w:r>
          </w:p>
        </w:tc>
        <w:tc>
          <w:tcPr>
            <w:tcW w:w="1384" w:type="dxa"/>
            <w:vAlign w:val="center"/>
          </w:tcPr>
          <w:p>
            <w:pPr>
              <w:pStyle w:val="4"/>
              <w:jc w:val="center"/>
            </w:pPr>
            <w:r>
              <w:t>8.00</w:t>
            </w:r>
          </w:p>
        </w:tc>
        <w:tc>
          <w:tcPr>
            <w:tcW w:w="1384" w:type="dxa"/>
            <w:vAlign w:val="center"/>
          </w:tcPr>
          <w:p>
            <w:pPr>
              <w:pStyle w:val="4"/>
              <w:jc w:val="center"/>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4</w:t>
            </w:r>
          </w:p>
        </w:tc>
        <w:tc>
          <w:tcPr>
            <w:tcW w:w="1384" w:type="dxa"/>
            <w:vAlign w:val="center"/>
          </w:tcPr>
          <w:p>
            <w:pPr>
              <w:pStyle w:val="4"/>
              <w:jc w:val="center"/>
            </w:pPr>
            <w:r>
              <w:t>详细评审</w:t>
            </w:r>
          </w:p>
        </w:tc>
        <w:tc>
          <w:tcPr>
            <w:tcW w:w="1384" w:type="dxa"/>
            <w:vAlign w:val="center"/>
          </w:tcPr>
          <w:p>
            <w:pPr>
              <w:pStyle w:val="4"/>
              <w:jc w:val="center"/>
            </w:pPr>
            <w:r>
              <w:t>人员配置</w:t>
            </w:r>
          </w:p>
        </w:tc>
        <w:tc>
          <w:tcPr>
            <w:tcW w:w="1384" w:type="dxa"/>
            <w:vAlign w:val="center"/>
          </w:tcPr>
          <w:p>
            <w:pPr>
              <w:pStyle w:val="4"/>
              <w:jc w:val="center"/>
            </w:pPr>
            <w:r>
              <w:t>1.项目负责人（1人）：具有测绘类专业高级工程师及以上职称得3分，同时具有注册测绘师注册证书加2分，此项最高得5分。 2.技术负责人（1人）：具有测绘类专业高级工程师及以上职称得2分，同时具有注册测绘师注册证书加2分，此项最高得4分。 3.质检负责人（1人）：具有测绘类专业高级工程师及以上职称得2分，同时具有注册测绘师注册证书加1分，此项最高得3分。 4.项目外业负责人（1人）：具有测绘类专业中级及以上职称得2分；具有注册测绘师注册证书加1分，此项最高得3分。 5.项目内业负责人（1人）：具有测绘类专业中级及以上职称得2分；同时具有注册测绘师注册证书加1分，此项最高得3分。 6.项目技术人员：每有一人具有测绘类中级及以上职称证书得1分，此项最高得3分。 注：以上人员不重复计分，提供相关人员证书复印件及在职证明材料并加盖公章。</w:t>
            </w:r>
          </w:p>
        </w:tc>
        <w:tc>
          <w:tcPr>
            <w:tcW w:w="1384" w:type="dxa"/>
            <w:vAlign w:val="center"/>
          </w:tcPr>
          <w:p>
            <w:pPr>
              <w:pStyle w:val="4"/>
              <w:jc w:val="center"/>
            </w:pPr>
            <w:r>
              <w:t>21.00</w:t>
            </w:r>
          </w:p>
        </w:tc>
        <w:tc>
          <w:tcPr>
            <w:tcW w:w="1384" w:type="dxa"/>
            <w:vAlign w:val="center"/>
          </w:tcPr>
          <w:p>
            <w:pPr>
              <w:pStyle w:val="4"/>
              <w:jc w:val="center"/>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5</w:t>
            </w:r>
          </w:p>
        </w:tc>
        <w:tc>
          <w:tcPr>
            <w:tcW w:w="1384" w:type="dxa"/>
            <w:vAlign w:val="center"/>
          </w:tcPr>
          <w:p>
            <w:pPr>
              <w:pStyle w:val="4"/>
              <w:jc w:val="center"/>
            </w:pPr>
            <w:r>
              <w:t>详细评审</w:t>
            </w:r>
          </w:p>
        </w:tc>
        <w:tc>
          <w:tcPr>
            <w:tcW w:w="1384" w:type="dxa"/>
            <w:vAlign w:val="center"/>
          </w:tcPr>
          <w:p>
            <w:pPr>
              <w:pStyle w:val="4"/>
              <w:jc w:val="center"/>
            </w:pPr>
            <w:r>
              <w:t>后续服务方案</w:t>
            </w:r>
          </w:p>
        </w:tc>
        <w:tc>
          <w:tcPr>
            <w:tcW w:w="1384" w:type="dxa"/>
            <w:vAlign w:val="center"/>
          </w:tcPr>
          <w:p>
            <w:pPr>
              <w:pStyle w:val="4"/>
              <w:jc w:val="center"/>
            </w:pPr>
            <w:r>
              <w:t>供应商针对本项目提供后期服务保障方案包含但不限:①后期服务响应时间；②后期服务人员配置；③后期服务指导等，上述内容完整详细且满足采购文件要求得12分，每缺失一项扣4分，每有一项（一处）内容不足或缺陷扣2分，扣完为止；不提供方案不得分。（说明：缺陷（或错误）是指在方案中：项目名称或编号错误、采购人单位名称错误、地点区域错误、不适用项目实际采购需求、凭空编造、内容前后不一致、相同内容重复提供、采用的技术明显不符合现行规范要求或引用的行业规范存在明显错误、内容存在明显的交叉混乱、方案明显存在仅复制评分因素题纲内容，而无具体的方案阐述内容、存在明显套用其他方案或明显脱离项目实际情况、所涉及的对应方案或描述与对应小项分析方案无关的等。)</w:t>
            </w:r>
          </w:p>
        </w:tc>
        <w:tc>
          <w:tcPr>
            <w:tcW w:w="1384" w:type="dxa"/>
            <w:vAlign w:val="center"/>
          </w:tcPr>
          <w:p>
            <w:pPr>
              <w:pStyle w:val="4"/>
              <w:jc w:val="center"/>
            </w:pPr>
            <w:r>
              <w:t>12.00</w:t>
            </w:r>
          </w:p>
        </w:tc>
        <w:tc>
          <w:tcPr>
            <w:tcW w:w="1384" w:type="dxa"/>
            <w:vAlign w:val="center"/>
          </w:tcPr>
          <w:p>
            <w:pPr>
              <w:pStyle w:val="4"/>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4"/>
              <w:jc w:val="center"/>
            </w:pPr>
            <w:r>
              <w:t>1</w:t>
            </w:r>
          </w:p>
        </w:tc>
        <w:tc>
          <w:tcPr>
            <w:tcW w:w="1384" w:type="dxa"/>
            <w:vAlign w:val="center"/>
          </w:tcPr>
          <w:p>
            <w:pPr>
              <w:pStyle w:val="4"/>
              <w:jc w:val="center"/>
            </w:pPr>
            <w:r>
              <w:t>价格分</w:t>
            </w:r>
          </w:p>
        </w:tc>
        <w:tc>
          <w:tcPr>
            <w:tcW w:w="1384" w:type="dxa"/>
            <w:vAlign w:val="center"/>
          </w:tcPr>
          <w:p>
            <w:pPr>
              <w:pStyle w:val="4"/>
              <w:jc w:val="center"/>
            </w:pPr>
            <w:r>
              <w:t>价格分</w:t>
            </w:r>
          </w:p>
        </w:tc>
        <w:tc>
          <w:tcPr>
            <w:tcW w:w="1384" w:type="dxa"/>
            <w:vAlign w:val="center"/>
          </w:tcPr>
          <w:p>
            <w:pPr>
              <w:pStyle w:val="4"/>
              <w:jc w:val="center"/>
            </w:pPr>
            <w:r>
              <w:t>以本次满足磋商文件要求且最后报价最低的供应商的价格为磋商基准价，其价格分为满分。其他供应商的价格分统一按照下列公式计算：磋商报价得分=（磋商基准价/最后磋商报价）×10。 说明：本项目专门面向中小企业采购，不再单独对小型和微型企业、监狱企业及残疾人福利性单位产品进行价格扣除。 注：评分的取值按四舍五入法，保留两位小数。</w:t>
            </w:r>
          </w:p>
        </w:tc>
        <w:tc>
          <w:tcPr>
            <w:tcW w:w="1384" w:type="dxa"/>
            <w:vAlign w:val="center"/>
          </w:tcPr>
          <w:p>
            <w:pPr>
              <w:pStyle w:val="4"/>
              <w:jc w:val="center"/>
            </w:pPr>
            <w:r>
              <w:t>10.00</w:t>
            </w:r>
          </w:p>
        </w:tc>
        <w:tc>
          <w:tcPr>
            <w:tcW w:w="1384" w:type="dxa"/>
            <w:vAlign w:val="center"/>
          </w:tcPr>
          <w:p>
            <w:pPr>
              <w:pStyle w:val="4"/>
              <w:jc w:val="center"/>
            </w:pPr>
            <w:r>
              <w:t>是</w:t>
            </w:r>
          </w:p>
        </w:tc>
      </w:tr>
    </w:tbl>
    <w:p>
      <w:pPr>
        <w:pStyle w:val="4"/>
      </w:pPr>
      <w:r>
        <w:t>11、合同管理安排</w:t>
      </w:r>
    </w:p>
    <w:p>
      <w:pPr>
        <w:pStyle w:val="4"/>
        <w:ind w:firstLine="400" w:firstLineChars="200"/>
      </w:pPr>
      <w:r>
        <w:t>1）合同类型：委托合同</w:t>
      </w:r>
    </w:p>
    <w:p>
      <w:pPr>
        <w:pStyle w:val="4"/>
        <w:ind w:firstLine="400" w:firstLineChars="200"/>
      </w:pPr>
      <w:r>
        <w:t>2）合同定价方式：固定总价</w:t>
      </w:r>
    </w:p>
    <w:p>
      <w:pPr>
        <w:pStyle w:val="4"/>
        <w:ind w:firstLine="400" w:firstLineChars="200"/>
      </w:pPr>
      <w:r>
        <w:t>3）合同履行期限：90</w:t>
      </w:r>
    </w:p>
    <w:p>
      <w:pPr>
        <w:pStyle w:val="4"/>
        <w:ind w:firstLine="400" w:firstLineChars="200"/>
      </w:pPr>
      <w:r>
        <w:t>4）合同履约地点：汉源县。</w:t>
      </w:r>
    </w:p>
    <w:p>
      <w:pPr>
        <w:pStyle w:val="4"/>
        <w:ind w:firstLine="400" w:firstLineChars="200"/>
      </w:pPr>
      <w:r>
        <w:t>5）支付方式：一次付清</w:t>
      </w:r>
    </w:p>
    <w:p>
      <w:pPr>
        <w:pStyle w:val="4"/>
        <w:ind w:firstLine="400" w:firstLineChars="200"/>
      </w:pPr>
      <w:r>
        <w:t>6）履约保证金及缴纳形式：中标/成交供应商是否需要缴纳履约保证金：否</w:t>
      </w:r>
    </w:p>
    <w:p>
      <w:pPr>
        <w:pStyle w:val="4"/>
        <w:ind w:firstLine="400" w:firstLineChars="200"/>
      </w:pPr>
      <w:r>
        <w:t>7）质量保证金及缴纳形式：中标/成交供应商是否需要缴纳质量保证金：否</w:t>
      </w:r>
    </w:p>
    <w:p>
      <w:pPr>
        <w:pStyle w:val="4"/>
        <w:ind w:left="799" w:leftChars="190" w:hanging="400" w:hangingChars="200"/>
      </w:pPr>
      <w:r>
        <w:t>8）合同支付约定：1、 付款条件说明： 自成交供应商与采购人签订合同起，待数据成果通过省级核查且成交供应商向采购人出具合法有效完整的完税发票及凭证资料后 ，达到付款条件起 30 日内，支付合同总金额的 100.00%。</w:t>
      </w:r>
    </w:p>
    <w:p>
      <w:pPr>
        <w:pStyle w:val="4"/>
        <w:ind w:left="799" w:leftChars="190" w:hanging="400" w:hangingChars="200"/>
      </w:pPr>
      <w:r>
        <w:t>9）验收交付标准和方法：项目采购人将严格按照《财政部关于进一步加强政府采购需求和履约验收管理的指导意见》的通知（财库〔2016〕205号）的要求及国家行业主管部门规定的标准、方法和内容进行验收。</w:t>
      </w:r>
    </w:p>
    <w:p>
      <w:pPr>
        <w:pStyle w:val="4"/>
        <w:ind w:firstLine="400" w:firstLineChars="200"/>
      </w:pPr>
      <w:r>
        <w:t>10）质量保修范围和保修期：/</w:t>
      </w:r>
    </w:p>
    <w:p>
      <w:pPr>
        <w:pStyle w:val="4"/>
        <w:ind w:firstLine="400" w:firstLineChars="200"/>
      </w:pPr>
      <w:r>
        <w:t>11）知识产权归属和处理方式：/</w:t>
      </w:r>
    </w:p>
    <w:p>
      <w:pPr>
        <w:pStyle w:val="4"/>
        <w:ind w:firstLine="400" w:firstLineChars="200"/>
      </w:pPr>
      <w:r>
        <w:t>12）成本补偿和风险分担约定：/</w:t>
      </w:r>
    </w:p>
    <w:p>
      <w:pPr>
        <w:pStyle w:val="4"/>
        <w:ind w:left="799" w:leftChars="190" w:hanging="400" w:hangingChars="200"/>
      </w:pPr>
      <w:r>
        <w:t>13）违约责任与解决争议的方法：一、违约责任 1、甲乙双方必须遵守本合同并执行合同中的各项规定，保证本合同的正常履行。 2、如因供应商工作人员在履行职务过程中的疏忽、失职、过错等故意或者过失原因对甲方造成的损失或者侵害，包括甲方本身的财产损失及由此产生的第三方法律责任等，供应商应对此承担不超过合同总额的赔偿责任。 二、争议解决办法 1、在执行本合同中发生的或与本合同有关的争端，双方应通过友好协商解决，经协商在15日内不能达成协议时，应提交甲方所在地人民法院诉讼解决。 2、在诉讼期间，除正在进行诉讼部分外，合同其他部分继续进行。</w:t>
      </w:r>
    </w:p>
    <w:p>
      <w:pPr>
        <w:pStyle w:val="4"/>
        <w:ind w:left="799" w:leftChars="190" w:hanging="400" w:hangingChars="200"/>
      </w:pPr>
      <w:r>
        <w:t>14）合同其他条款：1、本章的要求不能作为资格性条件要求评审。 2、本项目涉及企业资质、产品认证、人员执业资格等描述与国家最新要求不一致时以最新要求为准。</w:t>
      </w:r>
    </w:p>
    <w:p>
      <w:pPr>
        <w:pStyle w:val="4"/>
      </w:pPr>
      <w:r>
        <w:t>12、履约验收方案</w:t>
      </w:r>
    </w:p>
    <w:p>
      <w:pPr>
        <w:pStyle w:val="4"/>
        <w:ind w:firstLine="400" w:firstLineChars="200"/>
      </w:pPr>
      <w:r>
        <w:t>1）验收组织方式：自行验收</w:t>
      </w:r>
    </w:p>
    <w:p>
      <w:pPr>
        <w:pStyle w:val="4"/>
        <w:ind w:firstLine="400" w:firstLineChars="200"/>
      </w:pPr>
      <w:r>
        <w:t>2）是否邀请本项目的其他供应商：否</w:t>
      </w:r>
    </w:p>
    <w:p>
      <w:pPr>
        <w:pStyle w:val="4"/>
        <w:ind w:firstLine="400" w:firstLineChars="200"/>
      </w:pPr>
      <w:r>
        <w:t>3）是否邀请专家：否</w:t>
      </w:r>
    </w:p>
    <w:p>
      <w:pPr>
        <w:pStyle w:val="4"/>
        <w:ind w:firstLine="400" w:firstLineChars="200"/>
      </w:pPr>
      <w:r>
        <w:t>4）是否邀请服务对象：否</w:t>
      </w:r>
    </w:p>
    <w:p>
      <w:pPr>
        <w:pStyle w:val="4"/>
        <w:ind w:firstLine="400" w:firstLineChars="200"/>
      </w:pPr>
      <w:r>
        <w:t>5）是否邀请第三方检测机构：否</w:t>
      </w:r>
    </w:p>
    <w:p>
      <w:pPr>
        <w:pStyle w:val="4"/>
        <w:ind w:firstLine="400" w:firstLineChars="200"/>
      </w:pPr>
      <w:r>
        <w:t>6）履约验收程序：一次性验收</w:t>
      </w:r>
    </w:p>
    <w:p>
      <w:pPr>
        <w:pStyle w:val="4"/>
        <w:ind w:firstLine="400" w:firstLineChars="200"/>
      </w:pPr>
      <w:r>
        <w:t>7）履约验收时间：供应商提出验收申请之日起20日内组织验收</w:t>
      </w:r>
    </w:p>
    <w:p>
      <w:pPr>
        <w:pStyle w:val="4"/>
        <w:ind w:left="199" w:leftChars="95" w:firstLine="400" w:firstLineChars="200"/>
      </w:pPr>
      <w:r>
        <w:t>8）验收组织的其他事项：项目采购人将严格按照《财政部关于进一步加强政府采购需求和履约验收管理的指导意见》的通知（财库〔2016〕205号）的要求及国家行业主管部门规定的标准、方法和内容进行验收。</w:t>
      </w:r>
    </w:p>
    <w:p>
      <w:pPr>
        <w:pStyle w:val="4"/>
        <w:ind w:left="199" w:leftChars="95" w:firstLine="400" w:firstLineChars="200"/>
      </w:pPr>
      <w:r>
        <w:t>9）技术履约验收内容：本项目采购人将严格按照《财政部关于进一步加强政府采购需求和履约验收管理的指导意见》的通知（财库〔2016〕205号）的要求及国家行业主管部门规定的标准、方法和内容进行验收。</w:t>
      </w:r>
    </w:p>
    <w:p>
      <w:pPr>
        <w:pStyle w:val="4"/>
        <w:ind w:left="199" w:leftChars="95" w:firstLine="400" w:firstLineChars="200"/>
      </w:pPr>
      <w:r>
        <w:t>10）商务履约验收内容：本项目采购人将严格按照《财政部关于进一步加强政府采购需求和履约验收管理的指导意见》的通知（财库〔2016〕205号）的要求及国家行业主管部门规定的标准、方法和内容进行验收。</w:t>
      </w:r>
    </w:p>
    <w:p>
      <w:pPr>
        <w:pStyle w:val="4"/>
        <w:ind w:left="199" w:leftChars="95" w:firstLine="400" w:firstLineChars="200"/>
      </w:pPr>
      <w:r>
        <w:t>11）履约验收标准：采取自然资源主管部门的分阶段和分级检查的检查制度对项目成果检查与核查，提交自然资源部直至成果通过。</w:t>
      </w:r>
    </w:p>
    <w:p>
      <w:pPr>
        <w:pStyle w:val="4"/>
        <w:ind w:firstLine="600" w:firstLineChars="300"/>
      </w:pPr>
      <w:r>
        <w:t>12）履约验收其他事项：/</w:t>
      </w:r>
    </w:p>
    <w:p>
      <w:pPr>
        <w:pStyle w:val="4"/>
        <w:outlineLvl w:val="2"/>
      </w:pPr>
      <w:r>
        <w:rPr>
          <w:b/>
          <w:sz w:val="28"/>
        </w:rPr>
        <w:t>五、风险控制措施和替代方案</w:t>
      </w:r>
    </w:p>
    <w:p>
      <w:pPr>
        <w:pStyle w:val="4"/>
        <w:ind w:firstLine="400" w:firstLineChars="200"/>
      </w:pPr>
      <w:r>
        <w:t>该采购项目按照《政府采购需求管理办法》第二十五条规定，本项目是否需要组织风险判断、提出处置措施和替代方案：否</w:t>
      </w:r>
    </w:p>
    <w:p>
      <w:pPr>
        <w:pStyle w:val="4"/>
      </w:pPr>
    </w:p>
    <w:p>
      <w:pPr>
        <w:pStyle w:val="4"/>
      </w:pP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DYwMzI4NjFkYzIyMmI5Nzc0NDU5YmUxMjc1ZDgifQ=="/>
  </w:docVars>
  <w:rsids>
    <w:rsidRoot w:val="53B52B8D"/>
    <w:rsid w:val="177F50ED"/>
    <w:rsid w:val="53B52B8D"/>
    <w:rsid w:val="6B4C3056"/>
    <w:rsid w:val="77F79321"/>
    <w:rsid w:val="7F7D48B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 原原</cp:lastModifiedBy>
  <dcterms:modified xsi:type="dcterms:W3CDTF">2024-04-17T01:44:57Z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3964EB667E5247C4A0AA21C9A279749B_13</vt:lpwstr>
  </property>
</Properties>
</file>