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 xml:space="preserve"> 磋商项目技术、服务、商务及其他要求</w:t>
      </w:r>
      <w:bookmarkStart w:id="0" w:name="_GoBack"/>
      <w:bookmarkEnd w:id="0"/>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p>
    <w:p>
      <w:pPr>
        <w:pStyle w:val="4"/>
      </w:pPr>
    </w:p>
    <w:p>
      <w:pPr>
        <w:pStyle w:val="4"/>
      </w:pPr>
      <w:r>
        <w:t>自贡市第一人民医院为提供一种无侵入性、副作用小且科学证实有效的治疗方法，以改善心身科患者的睡眠质量和情绪状态，现拟采购全光谱自然光源模拟系统，采购包括运输、安装、调试、培训、售后服务等。</w:t>
      </w:r>
    </w:p>
    <w:p>
      <w:pPr>
        <w:pStyle w:val="4"/>
        <w:outlineLvl w:val="2"/>
      </w:pPr>
      <w:r>
        <w:rPr>
          <w:b/>
          <w:sz w:val="28"/>
        </w:rPr>
        <w:t>3.2采购内容</w:t>
      </w:r>
    </w:p>
    <w:p>
      <w:pPr>
        <w:pStyle w:val="4"/>
        <w:outlineLvl w:val="3"/>
      </w:pPr>
      <w:r>
        <w:rPr>
          <w:b/>
          <w:sz w:val="24"/>
        </w:rPr>
        <w:t>3.2.1标的清单</w:t>
      </w:r>
    </w:p>
    <w:p>
      <w:pPr>
        <w:pStyle w:val="4"/>
      </w:pPr>
    </w:p>
    <w:p>
      <w:pPr>
        <w:pStyle w:val="4"/>
      </w:pPr>
    </w:p>
    <w:p>
      <w:pPr>
        <w:pStyle w:val="4"/>
      </w:pPr>
      <w:r>
        <w:t>采购包1：</w:t>
      </w:r>
    </w:p>
    <w:p>
      <w:pPr>
        <w:pStyle w:val="4"/>
      </w:pPr>
      <w:r>
        <w:t>采购包预算金额（元）: 600,000.00</w:t>
      </w:r>
    </w:p>
    <w:p>
      <w:pPr>
        <w:pStyle w:val="4"/>
      </w:pPr>
      <w:r>
        <w:t>采购包最高限价（元）: 600,000.00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全光谱自然光源模拟系统</w:t>
            </w:r>
          </w:p>
        </w:tc>
        <w:tc>
          <w:tcPr>
            <w:tcW w:w="848" w:type="dxa"/>
          </w:tcPr>
          <w:p>
            <w:pPr>
              <w:pStyle w:val="4"/>
              <w:jc w:val="right"/>
            </w:pPr>
            <w:r>
              <w:t>1.00</w:t>
            </w:r>
          </w:p>
        </w:tc>
        <w:tc>
          <w:tcPr>
            <w:tcW w:w="1356" w:type="dxa"/>
          </w:tcPr>
          <w:p>
            <w:pPr>
              <w:pStyle w:val="4"/>
              <w:jc w:val="right"/>
            </w:pPr>
            <w:r>
              <w:t>600,000.00</w:t>
            </w:r>
          </w:p>
        </w:tc>
        <w:tc>
          <w:tcPr>
            <w:tcW w:w="678" w:type="dxa"/>
          </w:tcPr>
          <w:p>
            <w:pPr>
              <w:pStyle w:val="4"/>
            </w:pPr>
            <w:r>
              <w:t>套</w:t>
            </w:r>
          </w:p>
        </w:tc>
        <w:tc>
          <w:tcPr>
            <w:tcW w:w="678" w:type="dxa"/>
          </w:tcPr>
          <w:p>
            <w:pPr>
              <w:pStyle w:val="4"/>
            </w:pPr>
            <w:r>
              <w:t>工业</w:t>
            </w:r>
          </w:p>
        </w:tc>
        <w:tc>
          <w:tcPr>
            <w:tcW w:w="593" w:type="dxa"/>
          </w:tcPr>
          <w:p>
            <w:pPr>
              <w:pStyle w:val="4"/>
            </w:pPr>
            <w:r>
              <w:t>是</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2"/>
      </w:pPr>
      <w:r>
        <w:rPr>
          <w:b/>
          <w:sz w:val="28"/>
        </w:rPr>
        <w:t>3.3技术要求</w:t>
      </w:r>
    </w:p>
    <w:p>
      <w:pPr>
        <w:pStyle w:val="4"/>
      </w:pPr>
    </w:p>
    <w:p>
      <w:pPr>
        <w:pStyle w:val="4"/>
      </w:pPr>
    </w:p>
    <w:p>
      <w:pPr>
        <w:pStyle w:val="4"/>
      </w:pPr>
    </w:p>
    <w:p>
      <w:pPr>
        <w:pStyle w:val="4"/>
      </w:pPr>
      <w:r>
        <w:t>采购包1：</w:t>
      </w:r>
    </w:p>
    <w:p>
      <w:pPr>
        <w:pStyle w:val="4"/>
      </w:pPr>
    </w:p>
    <w:p>
      <w:pPr>
        <w:pStyle w:val="4"/>
      </w:pPr>
      <w:r>
        <w:t>标的名称：全光谱自然光源模拟系统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left"/>
            </w:pPr>
            <w:r>
              <w:rPr>
                <w:rFonts w:ascii="仿宋" w:hAnsi="仿宋" w:eastAsia="仿宋" w:cs="仿宋"/>
                <w:b/>
                <w:color w:val="000000"/>
                <w:sz w:val="24"/>
              </w:rPr>
              <w:t>一、固定式光源系统灯组</w:t>
            </w:r>
          </w:p>
          <w:p>
            <w:pPr>
              <w:pStyle w:val="4"/>
            </w:pPr>
            <w:r>
              <w:rPr>
                <w:rFonts w:ascii="仿宋" w:hAnsi="仿宋" w:eastAsia="仿宋" w:cs="仿宋"/>
                <w:sz w:val="24"/>
              </w:rPr>
              <w:t>1.面光源灯具：</w:t>
            </w:r>
          </w:p>
          <w:p>
            <w:pPr>
              <w:pStyle w:val="4"/>
            </w:pPr>
            <w:r>
              <w:rPr>
                <w:rFonts w:ascii="仿宋" w:hAnsi="仿宋" w:eastAsia="仿宋" w:cs="仿宋"/>
                <w:sz w:val="24"/>
              </w:rPr>
              <w:t>（1）★数量≥4件；</w:t>
            </w:r>
          </w:p>
          <w:p>
            <w:pPr>
              <w:pStyle w:val="4"/>
            </w:pPr>
            <w:r>
              <w:rPr>
                <w:rFonts w:ascii="仿宋" w:hAnsi="仿宋" w:eastAsia="仿宋" w:cs="仿宋"/>
                <w:sz w:val="24"/>
              </w:rPr>
              <w:t>（2）▲垂直下照光，单个灯具出光面积≥0.5㎡且需满足三米内照度≥10000 Lux (为了使用的安全与便捷，仅限单个灯具满足上述要求)。(需提供第三方检测机构出具的报告复印件，检测报告需包含出光面积和不同距离照度值检测)；</w:t>
            </w:r>
          </w:p>
          <w:p>
            <w:pPr>
              <w:pStyle w:val="4"/>
            </w:pPr>
            <w:r>
              <w:rPr>
                <w:rFonts w:ascii="仿宋" w:hAnsi="仿宋" w:eastAsia="仿宋" w:cs="仿宋"/>
                <w:sz w:val="24"/>
              </w:rPr>
              <w:t>（3）发光半值角＜8度；显色指数：&gt;95；</w:t>
            </w:r>
          </w:p>
          <w:p>
            <w:pPr>
              <w:pStyle w:val="4"/>
            </w:pPr>
            <w:r>
              <w:rPr>
                <w:rFonts w:ascii="仿宋" w:hAnsi="仿宋" w:eastAsia="仿宋" w:cs="仿宋"/>
                <w:sz w:val="24"/>
              </w:rPr>
              <w:t>（4）色温：2700K~10000K 范围可调；</w:t>
            </w:r>
          </w:p>
          <w:p>
            <w:pPr>
              <w:pStyle w:val="4"/>
            </w:pPr>
            <w:r>
              <w:rPr>
                <w:rFonts w:ascii="仿宋" w:hAnsi="仿宋" w:eastAsia="仿宋" w:cs="仿宋"/>
                <w:sz w:val="24"/>
              </w:rPr>
              <w:t>（5）功率因数&gt;0.95，谐波&lt;10%，抗雷击&gt;6000V，工作温度：-20~40</w:t>
            </w:r>
            <w:r>
              <w:t xml:space="preserve"> </w:t>
            </w:r>
            <w:r>
              <w:rPr>
                <w:rFonts w:ascii="仿宋" w:hAnsi="仿宋" w:eastAsia="仿宋" w:cs="仿宋"/>
                <w:sz w:val="24"/>
              </w:rPr>
              <w:t>℃；</w:t>
            </w:r>
          </w:p>
          <w:p>
            <w:pPr>
              <w:pStyle w:val="4"/>
            </w:pPr>
            <w:r>
              <w:rPr>
                <w:rFonts w:ascii="仿宋" w:hAnsi="仿宋" w:eastAsia="仿宋" w:cs="仿宋"/>
                <w:sz w:val="24"/>
              </w:rPr>
              <w:t>（6）无紫外线，无频闪，眩光指数（UGR）&lt;19，防尘防水 IP：50，抗撞击：IK08；</w:t>
            </w:r>
          </w:p>
          <w:p>
            <w:pPr>
              <w:pStyle w:val="4"/>
            </w:pPr>
            <w:r>
              <w:rPr>
                <w:rFonts w:ascii="仿宋" w:hAnsi="仿宋" w:eastAsia="仿宋" w:cs="仿宋"/>
                <w:sz w:val="24"/>
              </w:rPr>
              <w:t>（7）该设备可与光照控制软件配合使用，可通过互联网远程控制灯的启动、光照参数、持续时间等；</w:t>
            </w:r>
          </w:p>
          <w:p>
            <w:pPr>
              <w:pStyle w:val="4"/>
            </w:pPr>
            <w:r>
              <w:rPr>
                <w:rFonts w:ascii="仿宋" w:hAnsi="仿宋" w:eastAsia="仿宋" w:cs="仿宋"/>
                <w:sz w:val="24"/>
              </w:rPr>
              <w:t>（8）▲该设备在中国临床试验注册中心注册的临床试验不少于2项，并且由所在机构的伦理委员会批准通过，需提供网站截图和临床试验研究负责人的证明材料复印件和伦理委员会批件复印件</w:t>
            </w:r>
            <w:r>
              <w:rPr>
                <w:rFonts w:ascii="仿宋" w:hAnsi="仿宋" w:eastAsia="仿宋" w:cs="仿宋"/>
                <w:color w:val="0000FF"/>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2</w:t>
            </w:r>
          </w:p>
        </w:tc>
        <w:tc>
          <w:tcPr>
            <w:tcW w:w="2769" w:type="dxa"/>
          </w:tcPr>
          <w:p>
            <w:pPr>
              <w:pStyle w:val="4"/>
            </w:pPr>
            <w:r>
              <w:rPr>
                <w:rFonts w:ascii="仿宋" w:hAnsi="仿宋" w:eastAsia="仿宋" w:cs="仿宋"/>
                <w:b/>
                <w:sz w:val="24"/>
              </w:rPr>
              <w:t>二、移动式光照推车</w:t>
            </w:r>
          </w:p>
          <w:p>
            <w:pPr>
              <w:pStyle w:val="4"/>
            </w:pPr>
            <w:r>
              <w:rPr>
                <w:rFonts w:ascii="仿宋" w:hAnsi="仿宋" w:eastAsia="仿宋" w:cs="仿宋"/>
                <w:sz w:val="24"/>
              </w:rPr>
              <w:t>1.★数量：2台；</w:t>
            </w:r>
          </w:p>
          <w:p>
            <w:pPr>
              <w:pStyle w:val="4"/>
            </w:pPr>
            <w:r>
              <w:rPr>
                <w:rFonts w:ascii="仿宋" w:hAnsi="仿宋" w:eastAsia="仿宋" w:cs="仿宋"/>
                <w:sz w:val="24"/>
              </w:rPr>
              <w:t>2.单个推车支持≥2人同时使用；</w:t>
            </w:r>
          </w:p>
          <w:p>
            <w:pPr>
              <w:pStyle w:val="4"/>
            </w:pPr>
            <w:r>
              <w:rPr>
                <w:rFonts w:ascii="仿宋" w:hAnsi="仿宋" w:eastAsia="仿宋" w:cs="仿宋"/>
                <w:sz w:val="24"/>
              </w:rPr>
              <w:t>3.可设定不同色温的光照模式或者动态照明模式，以满足光生物效应要求，实现智能控光。光照剂量按实际患者情况控制；</w:t>
            </w:r>
          </w:p>
          <w:p>
            <w:pPr>
              <w:pStyle w:val="4"/>
            </w:pPr>
            <w:r>
              <w:rPr>
                <w:rFonts w:ascii="仿宋" w:hAnsi="仿宋" w:eastAsia="仿宋" w:cs="仿宋"/>
                <w:sz w:val="24"/>
              </w:rPr>
              <w:t>4.面光源灯具，发光光束角小于8度，一米距离照度≥10000 Lux；</w:t>
            </w:r>
          </w:p>
          <w:p>
            <w:pPr>
              <w:pStyle w:val="4"/>
            </w:pPr>
            <w:r>
              <w:rPr>
                <w:rFonts w:ascii="仿宋" w:hAnsi="仿宋" w:eastAsia="仿宋" w:cs="仿宋"/>
                <w:sz w:val="24"/>
              </w:rPr>
              <w:t>5.显色指数：≥93，色温：2700K~10000K 范围可调；</w:t>
            </w:r>
          </w:p>
          <w:p>
            <w:pPr>
              <w:pStyle w:val="4"/>
            </w:pPr>
            <w:r>
              <w:rPr>
                <w:rFonts w:ascii="仿宋" w:hAnsi="仿宋" w:eastAsia="仿宋" w:cs="仿宋"/>
                <w:sz w:val="24"/>
              </w:rPr>
              <w:t>6.功率≤90W，功率因数&gt;0.95，谐波&lt;10%，抗雷击&gt;6000V，工作温度：-20~40 ℃。无紫外线，无频闪，眩光指数（UGR）&lt;19，防尘防水 IP：50，抗撞击：IK08；</w:t>
            </w:r>
          </w:p>
          <w:p>
            <w:pPr>
              <w:pStyle w:val="4"/>
            </w:pPr>
            <w:r>
              <w:rPr>
                <w:rFonts w:ascii="仿宋" w:hAnsi="仿宋" w:eastAsia="仿宋" w:cs="仿宋"/>
                <w:sz w:val="24"/>
              </w:rPr>
              <w:t>7.单个推车万向臂数量≥2个，灯组模块≥2个；</w:t>
            </w:r>
          </w:p>
          <w:p>
            <w:pPr>
              <w:pStyle w:val="4"/>
            </w:pPr>
            <w:r>
              <w:rPr>
                <w:rFonts w:ascii="仿宋" w:hAnsi="仿宋" w:eastAsia="仿宋" w:cs="仿宋"/>
                <w:sz w:val="24"/>
              </w:rPr>
              <w:t>8.配置音乐模块，支持单个推车双人同时使用。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3</w:t>
            </w:r>
          </w:p>
        </w:tc>
        <w:tc>
          <w:tcPr>
            <w:tcW w:w="2769" w:type="dxa"/>
          </w:tcPr>
          <w:p>
            <w:pPr>
              <w:pStyle w:val="4"/>
            </w:pPr>
            <w:r>
              <w:rPr>
                <w:rFonts w:ascii="仿宋" w:hAnsi="仿宋" w:eastAsia="仿宋" w:cs="仿宋"/>
                <w:b/>
                <w:sz w:val="24"/>
              </w:rPr>
              <w:t>三、便携式生理参数采集模块</w:t>
            </w:r>
          </w:p>
          <w:p>
            <w:pPr>
              <w:pStyle w:val="4"/>
            </w:pPr>
            <w:r>
              <w:rPr>
                <w:rFonts w:ascii="仿宋" w:hAnsi="仿宋" w:eastAsia="仿宋" w:cs="仿宋"/>
                <w:sz w:val="24"/>
              </w:rPr>
              <w:t>1.★便携式生理参数采集设备：4台；</w:t>
            </w:r>
          </w:p>
          <w:p>
            <w:pPr>
              <w:pStyle w:val="4"/>
            </w:pPr>
            <w:r>
              <w:rPr>
                <w:rFonts w:ascii="仿宋" w:hAnsi="仿宋" w:eastAsia="仿宋" w:cs="仿宋"/>
                <w:sz w:val="24"/>
              </w:rPr>
              <w:t>2.重量≤8g；</w:t>
            </w:r>
          </w:p>
          <w:p>
            <w:pPr>
              <w:pStyle w:val="4"/>
            </w:pPr>
            <w:r>
              <w:rPr>
                <w:rFonts w:ascii="仿宋" w:hAnsi="仿宋" w:eastAsia="仿宋" w:cs="仿宋"/>
                <w:sz w:val="24"/>
              </w:rPr>
              <w:t>3.心率测量范围：40-300 bpm；心率精度：误差&lt; ± 5%，静态0.3%；</w:t>
            </w:r>
          </w:p>
          <w:p>
            <w:pPr>
              <w:pStyle w:val="4"/>
            </w:pPr>
            <w:r>
              <w:rPr>
                <w:rFonts w:ascii="仿宋" w:hAnsi="仿宋" w:eastAsia="仿宋" w:cs="仿宋"/>
                <w:sz w:val="24"/>
              </w:rPr>
              <w:t>4.呼吸率测量范围: 5 - 35 BrPM；呼吸率精度: 误差在±3 BrPM内；</w:t>
            </w:r>
          </w:p>
          <w:p>
            <w:pPr>
              <w:pStyle w:val="4"/>
            </w:pPr>
            <w:r>
              <w:rPr>
                <w:rFonts w:ascii="仿宋" w:hAnsi="仿宋" w:eastAsia="仿宋" w:cs="仿宋"/>
                <w:sz w:val="24"/>
              </w:rPr>
              <w:t>5.不进行额外充电的情况，续航时间≥110小时；</w:t>
            </w:r>
          </w:p>
          <w:p>
            <w:pPr>
              <w:pStyle w:val="4"/>
            </w:pPr>
            <w:r>
              <w:rPr>
                <w:rFonts w:ascii="仿宋" w:hAnsi="仿宋" w:eastAsia="仿宋" w:cs="仿宋"/>
                <w:sz w:val="24"/>
              </w:rPr>
              <w:t>6.设备可存储数据，设备内置存储时间≥96小时；支持断点续传；</w:t>
            </w:r>
          </w:p>
          <w:p>
            <w:pPr>
              <w:pStyle w:val="4"/>
            </w:pPr>
            <w:r>
              <w:rPr>
                <w:rFonts w:ascii="仿宋" w:hAnsi="仿宋" w:eastAsia="仿宋" w:cs="仿宋"/>
                <w:sz w:val="24"/>
              </w:rPr>
              <w:t>7.防护等级≥IPX7</w:t>
            </w:r>
          </w:p>
          <w:p>
            <w:pPr>
              <w:pStyle w:val="4"/>
            </w:pPr>
            <w:r>
              <w:rPr>
                <w:rFonts w:ascii="仿宋" w:hAnsi="仿宋" w:eastAsia="仿宋" w:cs="仿宋"/>
                <w:sz w:val="24"/>
              </w:rPr>
              <w:t>8.▲设备和人体直接接触，需要满足电气安全、电磁兼容要求（需提供第三方检测机构出具的电气安全报告和电磁兼容报告复印件）；</w:t>
            </w:r>
          </w:p>
          <w:p>
            <w:pPr>
              <w:pStyle w:val="4"/>
            </w:pPr>
            <w:r>
              <w:rPr>
                <w:rFonts w:ascii="仿宋" w:hAnsi="仿宋" w:eastAsia="仿宋" w:cs="仿宋"/>
                <w:sz w:val="24"/>
              </w:rPr>
              <w:t>9.▲设备和人体直接接触，需要满足生物化学安全（需提供第三方检测机构出具的生物化学安全报告复印件）；</w:t>
            </w:r>
          </w:p>
          <w:p>
            <w:pPr>
              <w:pStyle w:val="4"/>
            </w:pPr>
            <w:r>
              <w:rPr>
                <w:rFonts w:ascii="仿宋" w:hAnsi="仿宋" w:eastAsia="仿宋" w:cs="仿宋"/>
                <w:sz w:val="24"/>
              </w:rPr>
              <w:t>10.▲设备和人体直接接触，需要满足交叉感染安全要求（需提供第三方检测机构出具的交叉感染安全报告复印件）；</w:t>
            </w:r>
          </w:p>
          <w:p>
            <w:pPr>
              <w:pStyle w:val="4"/>
            </w:pPr>
            <w:r>
              <w:rPr>
                <w:rFonts w:ascii="仿宋" w:hAnsi="仿宋" w:eastAsia="仿宋" w:cs="仿宋"/>
                <w:sz w:val="24"/>
              </w:rPr>
              <w:t>11.兼容性同时满足安卓、苹果、蓝牙网关等接收设备，一个接收端可以连接多个心电贴。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4</w:t>
            </w:r>
          </w:p>
        </w:tc>
        <w:tc>
          <w:tcPr>
            <w:tcW w:w="2769" w:type="dxa"/>
          </w:tcPr>
          <w:p>
            <w:pPr>
              <w:pStyle w:val="4"/>
            </w:pPr>
            <w:r>
              <w:rPr>
                <w:rFonts w:ascii="仿宋" w:hAnsi="仿宋" w:eastAsia="仿宋" w:cs="仿宋"/>
                <w:b/>
                <w:sz w:val="24"/>
              </w:rPr>
              <w:t>四、生理参数数据统和系统</w:t>
            </w:r>
          </w:p>
          <w:p>
            <w:pPr>
              <w:pStyle w:val="4"/>
            </w:pPr>
            <w:r>
              <w:rPr>
                <w:rFonts w:ascii="仿宋" w:hAnsi="仿宋" w:eastAsia="仿宋" w:cs="仿宋"/>
                <w:sz w:val="24"/>
              </w:rPr>
              <w:t>1.专用科学研究分析软件，包含以下数据处理分析功能模块：</w:t>
            </w:r>
          </w:p>
          <w:p>
            <w:pPr>
              <w:pStyle w:val="4"/>
            </w:pPr>
            <w:r>
              <w:rPr>
                <w:rFonts w:ascii="仿宋" w:hAnsi="仿宋" w:eastAsia="仿宋" w:cs="仿宋"/>
                <w:sz w:val="24"/>
              </w:rPr>
              <w:t>数据预处理，含伪迹移除\校正：支持频带滤波（低通、高通、带通）功能，去除无关的生理频段及低频漂移，可定量采集并分析患者生命体征时相数据；包含体动、心率、皮温、皮电、血氧饱和度、呼吸等基础生理信息采集以及多源异构数据分析，包含脑电、交感神经张力与副交感神经状态及长时程分析；</w:t>
            </w:r>
          </w:p>
          <w:p>
            <w:pPr>
              <w:pStyle w:val="4"/>
            </w:pPr>
            <w:r>
              <w:rPr>
                <w:rFonts w:ascii="仿宋" w:hAnsi="仿宋" w:eastAsia="仿宋" w:cs="仿宋"/>
                <w:sz w:val="24"/>
              </w:rPr>
              <w:t>2.支持心率实时监控并可实现异常值报警。</w:t>
            </w:r>
          </w:p>
          <w:p>
            <w:pPr>
              <w:pStyle w:val="4"/>
            </w:pPr>
            <w:r>
              <w:rPr>
                <w:rFonts w:ascii="仿宋" w:hAnsi="仿宋" w:eastAsia="仿宋" w:cs="仿宋"/>
                <w:sz w:val="24"/>
              </w:rPr>
              <w:t>3.数据分析系统可预设时间查看，设定时间段查看以及分不同时间戳查看。</w:t>
            </w:r>
          </w:p>
          <w:p>
            <w:pPr>
              <w:pStyle w:val="4"/>
            </w:pPr>
            <w:r>
              <w:rPr>
                <w:rFonts w:ascii="仿宋" w:hAnsi="仿宋" w:eastAsia="仿宋" w:cs="仿宋"/>
                <w:sz w:val="24"/>
              </w:rPr>
              <w:t>4.具备不同时间段数据对比功能，支持患者多参数数据段自助式导出功能。</w:t>
            </w:r>
          </w:p>
          <w:p>
            <w:pPr>
              <w:pStyle w:val="4"/>
            </w:pPr>
            <w:r>
              <w:rPr>
                <w:rFonts w:ascii="仿宋" w:hAnsi="仿宋" w:eastAsia="仿宋" w:cs="仿宋"/>
                <w:sz w:val="24"/>
              </w:rPr>
              <w:t>5.报告生成：支持对用户所监测到的各项生命体征和神经指标连续24小时采样，并可通过滑动窗口进行自动算法分析。生成不同时间段包含交感神经张力指数和副交感神经张力指数的科研报告供下载使用。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5</w:t>
            </w:r>
          </w:p>
        </w:tc>
        <w:tc>
          <w:tcPr>
            <w:tcW w:w="2769" w:type="dxa"/>
          </w:tcPr>
          <w:p>
            <w:pPr>
              <w:pStyle w:val="4"/>
            </w:pPr>
            <w:r>
              <w:rPr>
                <w:rFonts w:ascii="仿宋" w:hAnsi="仿宋" w:eastAsia="仿宋" w:cs="仿宋"/>
                <w:b/>
                <w:sz w:val="24"/>
              </w:rPr>
              <w:t>五、光疗系统配套硬件</w:t>
            </w:r>
          </w:p>
          <w:p>
            <w:pPr>
              <w:pStyle w:val="4"/>
            </w:pPr>
            <w:r>
              <w:rPr>
                <w:rFonts w:ascii="仿宋" w:hAnsi="仿宋" w:eastAsia="仿宋" w:cs="仿宋"/>
                <w:sz w:val="24"/>
              </w:rPr>
              <w:t>1.数据处理平台</w:t>
            </w:r>
          </w:p>
          <w:p>
            <w:pPr>
              <w:pStyle w:val="4"/>
            </w:pPr>
            <w:r>
              <w:rPr>
                <w:rFonts w:ascii="仿宋" w:hAnsi="仿宋" w:eastAsia="仿宋" w:cs="仿宋"/>
                <w:sz w:val="24"/>
              </w:rPr>
              <w:t>处理器：i7 12代以上；内存＞16GB；固态硬盘≥1TB；机械硬盘≥2TB；独立显卡：RTX 4070Ti以上;</w:t>
            </w:r>
          </w:p>
          <w:p>
            <w:pPr>
              <w:pStyle w:val="4"/>
            </w:pPr>
            <w:r>
              <w:rPr>
                <w:rFonts w:ascii="仿宋" w:hAnsi="仿宋" w:eastAsia="仿宋" w:cs="仿宋"/>
                <w:sz w:val="24"/>
              </w:rPr>
              <w:t>2.数据展示平台</w:t>
            </w:r>
          </w:p>
          <w:p>
            <w:pPr>
              <w:pStyle w:val="4"/>
            </w:pPr>
            <w:r>
              <w:rPr>
                <w:rFonts w:ascii="仿宋" w:hAnsi="仿宋" w:eastAsia="仿宋" w:cs="仿宋"/>
                <w:sz w:val="24"/>
              </w:rPr>
              <w:t>尺寸≥80寸；分辨率≥4K；刷新频率≥120Hz；内存≥3+32GB；接口参数：HDMI: 2.1*2个；  网络接口: 1个；USB:2.0*1个, 3.0*1个；RF:1个；AV输入: 1个；同轴/光纤:同轴*1个。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6</w:t>
            </w:r>
          </w:p>
        </w:tc>
        <w:tc>
          <w:tcPr>
            <w:tcW w:w="2769" w:type="dxa"/>
          </w:tcPr>
          <w:p>
            <w:pPr>
              <w:pStyle w:val="4"/>
            </w:pPr>
            <w:r>
              <w:rPr>
                <w:rFonts w:ascii="仿宋" w:hAnsi="仿宋" w:eastAsia="仿宋" w:cs="仿宋"/>
                <w:b/>
                <w:sz w:val="24"/>
              </w:rPr>
              <w:t>六、光照控制软件系统</w:t>
            </w:r>
          </w:p>
          <w:p>
            <w:pPr>
              <w:pStyle w:val="4"/>
            </w:pPr>
            <w:r>
              <w:rPr>
                <w:rFonts w:ascii="仿宋" w:hAnsi="仿宋" w:eastAsia="仿宋" w:cs="仿宋"/>
                <w:sz w:val="24"/>
              </w:rPr>
              <w:t>1.该光照治疗控制系统精确调控灯光参数，模拟日出到日落的光谱变化，基于临床循证证据，根据不同症状预设相应的光照剂量参数和时长。无有害光谱成分。</w:t>
            </w:r>
          </w:p>
          <w:p>
            <w:pPr>
              <w:pStyle w:val="4"/>
            </w:pPr>
            <w:r>
              <w:rPr>
                <w:rFonts w:ascii="仿宋" w:hAnsi="仿宋" w:eastAsia="仿宋" w:cs="仿宋"/>
                <w:sz w:val="24"/>
              </w:rPr>
              <w:t>2.控制系统适配PC端，移动端，一站式免安装部署，登陆即可使用。</w:t>
            </w:r>
          </w:p>
          <w:p>
            <w:pPr>
              <w:pStyle w:val="4"/>
            </w:pPr>
            <w:r>
              <w:rPr>
                <w:rFonts w:ascii="仿宋" w:hAnsi="仿宋" w:eastAsia="仿宋" w:cs="仿宋"/>
                <w:sz w:val="24"/>
              </w:rPr>
              <w:t>3.控制系统可设置启动照明，控制光照动态变化。可设定不同色温的光照模式及动态照明模式。可设定固定照度照射时间。可设定某一时间段内（每天、工作日）模拟日出到日落完整的连续光照过程。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7</w:t>
            </w:r>
          </w:p>
        </w:tc>
        <w:tc>
          <w:tcPr>
            <w:tcW w:w="2769" w:type="dxa"/>
          </w:tcPr>
          <w:p>
            <w:pPr>
              <w:pStyle w:val="4"/>
            </w:pPr>
            <w:r>
              <w:rPr>
                <w:rFonts w:ascii="仿宋" w:hAnsi="仿宋" w:eastAsia="仿宋" w:cs="仿宋"/>
                <w:b/>
                <w:sz w:val="24"/>
              </w:rPr>
              <w:t>七、光照用户评估管理系统</w:t>
            </w:r>
          </w:p>
          <w:p>
            <w:pPr>
              <w:pStyle w:val="4"/>
            </w:pPr>
            <w:r>
              <w:rPr>
                <w:rFonts w:ascii="仿宋" w:hAnsi="仿宋" w:eastAsia="仿宋" w:cs="仿宋"/>
                <w:sz w:val="24"/>
              </w:rPr>
              <w:t>1.该光照用户评估管理系统内置临床方案，需满足季节性抑郁症、重度抑郁症、双相情感障碍以及睡眠障碍的参数；内置生物节律和常用精神评估相关量表，管理端可进行组合、派发量表任务。</w:t>
            </w:r>
          </w:p>
          <w:p>
            <w:pPr>
              <w:pStyle w:val="4"/>
            </w:pPr>
            <w:r>
              <w:rPr>
                <w:rFonts w:ascii="仿宋" w:hAnsi="仿宋" w:eastAsia="仿宋" w:cs="仿宋"/>
                <w:sz w:val="24"/>
              </w:rPr>
              <w:t>2.用户端可通过手机端扫码完成测评任务。管理系统可分配不同权限账户。任务派发方式简便。可通过日历模式进行可视化操作。</w:t>
            </w:r>
          </w:p>
          <w:p>
            <w:pPr>
              <w:pStyle w:val="4"/>
            </w:pPr>
            <w:r>
              <w:rPr>
                <w:rFonts w:ascii="仿宋" w:hAnsi="仿宋" w:eastAsia="仿宋" w:cs="仿宋"/>
                <w:sz w:val="24"/>
              </w:rPr>
              <w:t>3.用户管理系统需同时包含以下模块，且所有用户管理系统模块在同一个界面入口整合统一，方便使用： 权限管理模块；用户管理模块；量表评测模块 (PHQ-9、GAD-7、PSQI、SAS、SDS、SCL-90等)；光照方案管理模块；操作历史记录模块；</w:t>
            </w:r>
          </w:p>
          <w:p>
            <w:pPr>
              <w:pStyle w:val="4"/>
            </w:pPr>
            <w:r>
              <w:rPr>
                <w:rFonts w:ascii="仿宋" w:hAnsi="仿宋" w:eastAsia="仿宋" w:cs="仿宋"/>
                <w:sz w:val="24"/>
              </w:rPr>
              <w:t>4.一站式免安装部署，登陆即可使用。提供控制光照控制软件的接口，可按需实现管理系统分配任务以后，光照控制软件自动控制光照灯组硬件。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8</w:t>
            </w:r>
          </w:p>
        </w:tc>
        <w:tc>
          <w:tcPr>
            <w:tcW w:w="2769" w:type="dxa"/>
          </w:tcPr>
          <w:p>
            <w:pPr>
              <w:pStyle w:val="4"/>
            </w:pPr>
            <w:r>
              <w:rPr>
                <w:rFonts w:ascii="仿宋" w:hAnsi="仿宋" w:eastAsia="仿宋" w:cs="仿宋"/>
                <w:b/>
                <w:sz w:val="24"/>
              </w:rPr>
              <w:t>八、其他需求</w:t>
            </w:r>
          </w:p>
          <w:p>
            <w:pPr>
              <w:pStyle w:val="4"/>
            </w:pPr>
            <w:r>
              <w:rPr>
                <w:rFonts w:ascii="仿宋" w:hAnsi="仿宋" w:eastAsia="仿宋" w:cs="仿宋"/>
                <w:sz w:val="24"/>
              </w:rPr>
              <w:t>1.系统需连接医院内部HIS系统。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9</w:t>
            </w:r>
          </w:p>
        </w:tc>
        <w:tc>
          <w:tcPr>
            <w:tcW w:w="2769" w:type="dxa"/>
          </w:tcPr>
          <w:p>
            <w:pPr>
              <w:pStyle w:val="4"/>
              <w:jc w:val="both"/>
            </w:pPr>
            <w:r>
              <w:rPr>
                <w:rFonts w:ascii="仿宋" w:hAnsi="仿宋" w:eastAsia="仿宋" w:cs="仿宋"/>
                <w:b/>
                <w:sz w:val="24"/>
              </w:rPr>
              <w:t>注：以上涉及的标准、规范若已作废或未提及的，以国家最新的标准、规范为准。</w:t>
            </w:r>
          </w:p>
        </w:tc>
      </w:tr>
    </w:tbl>
    <w:p>
      <w:pPr>
        <w:pStyle w:val="4"/>
        <w:outlineLvl w:val="2"/>
      </w:pPr>
      <w:r>
        <w:rPr>
          <w:b/>
          <w:sz w:val="28"/>
        </w:rPr>
        <w:t>3.4商务要求</w:t>
      </w:r>
    </w:p>
    <w:p>
      <w:pPr>
        <w:pStyle w:val="4"/>
        <w:outlineLvl w:val="3"/>
      </w:pPr>
      <w:r>
        <w:rPr>
          <w:b/>
          <w:sz w:val="24"/>
        </w:rPr>
        <w:t>3.4.1交货时间</w:t>
      </w:r>
    </w:p>
    <w:p>
      <w:pPr>
        <w:pStyle w:val="4"/>
      </w:pPr>
    </w:p>
    <w:p>
      <w:pPr>
        <w:pStyle w:val="4"/>
      </w:pPr>
    </w:p>
    <w:p>
      <w:pPr>
        <w:pStyle w:val="4"/>
      </w:pPr>
    </w:p>
    <w:p>
      <w:pPr>
        <w:pStyle w:val="4"/>
      </w:pPr>
      <w:r>
        <w:t>采购包1：</w:t>
      </w:r>
    </w:p>
    <w:p>
      <w:pPr>
        <w:pStyle w:val="4"/>
      </w:pPr>
      <w:r>
        <w:t xml:space="preserve"> 自合同签订之日起30日</w:t>
      </w:r>
    </w:p>
    <w:p>
      <w:pPr>
        <w:pStyle w:val="4"/>
        <w:outlineLvl w:val="3"/>
      </w:pPr>
      <w:r>
        <w:rPr>
          <w:b/>
          <w:sz w:val="24"/>
        </w:rPr>
        <w:t>3.4.2交货地点和方式</w:t>
      </w:r>
    </w:p>
    <w:p>
      <w:pPr>
        <w:pStyle w:val="4"/>
      </w:pPr>
    </w:p>
    <w:p>
      <w:pPr>
        <w:pStyle w:val="4"/>
      </w:pPr>
    </w:p>
    <w:p>
      <w:pPr>
        <w:pStyle w:val="4"/>
      </w:pPr>
    </w:p>
    <w:p>
      <w:pPr>
        <w:pStyle w:val="4"/>
      </w:pPr>
      <w:r>
        <w:t>采购包1：</w:t>
      </w:r>
    </w:p>
    <w:p>
      <w:pPr>
        <w:pStyle w:val="4"/>
      </w:pPr>
      <w:r>
        <w:t>自贡市第一人民医院</w:t>
      </w:r>
    </w:p>
    <w:p>
      <w:pPr>
        <w:pStyle w:val="4"/>
        <w:outlineLvl w:val="3"/>
      </w:pPr>
      <w:r>
        <w:rPr>
          <w:b/>
          <w:sz w:val="24"/>
        </w:rPr>
        <w:t>3.4.3支付方式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3.4.4支付约定</w:t>
      </w:r>
    </w:p>
    <w:p>
      <w:pPr>
        <w:pStyle w:val="4"/>
      </w:pPr>
    </w:p>
    <w:p>
      <w:pPr>
        <w:pStyle w:val="4"/>
      </w:pPr>
    </w:p>
    <w:p>
      <w:pPr>
        <w:pStyle w:val="4"/>
      </w:pPr>
    </w:p>
    <w:p>
      <w:pPr>
        <w:pStyle w:val="4"/>
      </w:pPr>
      <w:r>
        <w:t>采购包1： 付款条件说明： 签订合同之日起 ，达到付款条件起 14 日内，支付合同总金额的 40.00%。</w:t>
      </w:r>
    </w:p>
    <w:p>
      <w:pPr>
        <w:pStyle w:val="4"/>
      </w:pPr>
      <w:r>
        <w:t>采购包1： 付款条件说明： 安装调试完毕并验收合格后，成交供应商开具发票，采购人自收到发票之日起 ，达到付款条件起 14 日内，支付合同总金额的 50.00%。</w:t>
      </w:r>
    </w:p>
    <w:p>
      <w:pPr>
        <w:pStyle w:val="4"/>
      </w:pPr>
      <w:r>
        <w:t>采购包1： 付款条件说明： 验收合格满一年后 ，达到付款条件起 14 日内，支付合同总金额的 10.00%。</w:t>
      </w:r>
    </w:p>
    <w:p>
      <w:pPr>
        <w:pStyle w:val="4"/>
        <w:outlineLvl w:val="3"/>
      </w:pPr>
      <w:r>
        <w:rPr>
          <w:b/>
          <w:sz w:val="24"/>
        </w:rPr>
        <w:t>3.4.5验收标准和方法</w:t>
      </w:r>
    </w:p>
    <w:p>
      <w:pPr>
        <w:pStyle w:val="4"/>
      </w:pPr>
    </w:p>
    <w:p>
      <w:pPr>
        <w:pStyle w:val="4"/>
      </w:pPr>
    </w:p>
    <w:p>
      <w:pPr>
        <w:pStyle w:val="4"/>
      </w:pPr>
    </w:p>
    <w:p>
      <w:pPr>
        <w:pStyle w:val="4"/>
      </w:pPr>
      <w:r>
        <w:t>采购包1：</w:t>
      </w:r>
    </w:p>
    <w:p>
      <w:pPr>
        <w:pStyle w:val="4"/>
      </w:pPr>
      <w:r>
        <w:t>（1）产品使用质保期5年（含5年）以下的，成交供应商需提供出厂日期为半年内的货物；产品使用质保期5年以上的，成交供应商需提供出厂日期为一年内的货物。 （2）按照政府采购相关法律法规以及《财政部关于进一步加强政府采购需求和履约验收管理的指导意见》（财库[2016]205号）的规定，严格按照采购文件的质量要求和技术指标、供应商的响应文件及承诺、国家有关部门批准的技术标准、双方签订的合同，共同现场验收。同时提供相关证明文件，否则视为验收不合格，采购人有权单方面解除合同。</w:t>
      </w:r>
    </w:p>
    <w:p>
      <w:pPr>
        <w:pStyle w:val="4"/>
        <w:outlineLvl w:val="3"/>
      </w:pPr>
      <w:r>
        <w:rPr>
          <w:b/>
          <w:sz w:val="24"/>
        </w:rPr>
        <w:t>3.4.6包装方式及运输</w:t>
      </w:r>
    </w:p>
    <w:p>
      <w:pPr>
        <w:pStyle w:val="4"/>
      </w:pPr>
    </w:p>
    <w:p>
      <w:pPr>
        <w:pStyle w:val="4"/>
      </w:pPr>
    </w:p>
    <w:p>
      <w:pPr>
        <w:pStyle w:val="4"/>
      </w:pPr>
    </w:p>
    <w:p>
      <w:pPr>
        <w:pStyle w:val="4"/>
      </w:pPr>
      <w:r>
        <w:t>采购包1：</w:t>
      </w:r>
    </w:p>
    <w:p>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outlineLvl w:val="3"/>
      </w:pPr>
      <w:r>
        <w:rPr>
          <w:b/>
          <w:sz w:val="24"/>
        </w:rPr>
        <w:t>3.4.7质量保修范围和保修期</w:t>
      </w:r>
    </w:p>
    <w:p>
      <w:pPr>
        <w:pStyle w:val="4"/>
      </w:pPr>
    </w:p>
    <w:p>
      <w:pPr>
        <w:pStyle w:val="4"/>
      </w:pPr>
    </w:p>
    <w:p>
      <w:pPr>
        <w:pStyle w:val="4"/>
      </w:pPr>
    </w:p>
    <w:p>
      <w:pPr>
        <w:pStyle w:val="4"/>
      </w:pPr>
      <w:r>
        <w:t>采购包1：</w:t>
      </w:r>
    </w:p>
    <w:p>
      <w:pPr>
        <w:pStyle w:val="4"/>
      </w:pPr>
      <w:r>
        <w:t>从项目完成验收（验收文档签订之日起）3年为免费质保期。在质保期内产生的一切费用均包含在合同总价中，不得再收取任何费用。供应商应按生产厂家的保修规定和采购文件说明的服务承诺做好免费保修、维护等服务，保证产品完好率≥95%，耽误一天则保修期顺延5个工作日。（须单独提供承诺函并加盖电子签章，格式自拟）</w:t>
      </w:r>
    </w:p>
    <w:p>
      <w:pPr>
        <w:pStyle w:val="4"/>
        <w:outlineLvl w:val="3"/>
      </w:pPr>
      <w:r>
        <w:rPr>
          <w:b/>
          <w:sz w:val="24"/>
        </w:rPr>
        <w:t>3.4.8违约责任与解决争议的方法</w:t>
      </w:r>
    </w:p>
    <w:p>
      <w:pPr>
        <w:pStyle w:val="4"/>
      </w:pPr>
    </w:p>
    <w:p>
      <w:pPr>
        <w:pStyle w:val="4"/>
      </w:pPr>
    </w:p>
    <w:p>
      <w:pPr>
        <w:pStyle w:val="4"/>
      </w:pPr>
    </w:p>
    <w:p>
      <w:pPr>
        <w:pStyle w:val="4"/>
      </w:pPr>
      <w:r>
        <w:t>采购包1：</w:t>
      </w:r>
    </w:p>
    <w:p>
      <w:pPr>
        <w:pStyle w:val="4"/>
      </w:pPr>
      <w:r>
        <w:t>违约责任：（1）合同双方如有一方不履行合同义务或者履行合同义务不符合合同约定的,除另有注明者外，均按合同总价的1%支付对方违约金，造成对方损失的还应赔偿损失。（2）成交供应商如违反本合同售后服务协议条款的内容，除应继续按照售后服务要求提供售后服务外还应按合同总金额的5%承担违约责任。（3）若成交供应商在质保期内超过4个日历日不能按售后服务要求提供产品和备件，采购人有权自行采购，因此产生的费用由成交供应商承担。争议解决方法：双方根据本合同原则，友好协商解决；协商无效的，可向自贡仲裁委员会申请仲裁。</w:t>
      </w:r>
    </w:p>
    <w:p>
      <w:pPr>
        <w:pStyle w:val="4"/>
        <w:jc w:val="left"/>
        <w:outlineLvl w:val="2"/>
      </w:pPr>
      <w:r>
        <w:rPr>
          <w:b/>
          <w:sz w:val="28"/>
        </w:rPr>
        <w:t>3.5其他要求</w:t>
      </w:r>
    </w:p>
    <w:p>
      <w:pPr>
        <w:pStyle w:val="4"/>
      </w:pPr>
    </w:p>
    <w:p>
      <w:pPr>
        <w:pStyle w:val="4"/>
      </w:pPr>
    </w:p>
    <w:p>
      <w:pPr>
        <w:pStyle w:val="4"/>
      </w:pPr>
      <w:r>
        <w:t>★1.售后服务要求： （1）成交供应商在接到采购人故障通知时应立即响应，24小时内派工程师到达现场。若故障一时无法修复（超过5个日历日），成交供应商应按采购人实际需求提供同型号或符合科室需求的备用产品，此条款也适用于保修期外。 （2）质保期后，成交供应商负责产品的终身维修、零配件的及时供应，如有配套软件需提供终身免费升级。维修费先修理后付款，零配件的购买先交货后付款。 （3）根据产品特点及技术要求，成交供应商应免费对采购人的技术、管理人员进行现场培训，直至能熟练操作为止，负责向采购人提供产品的中文说明书、使用手册、维修手册，并承担由此产生的全部费用。 （4）成交供应商必须指定专门联络人、项目经理、技术经理等负责项目的技术咨询、系统维护的接洽工作。若有人员变动，需提前10日向医院提出人员变动申请，经院方同意并做好工作交接后方可变动。 （5）如果成交供应商的产品需进行软件或数据库升级，成交供应商应及时通知院方，根据院方实际情况形成完善可行的升级方案及预案后对院方购买的产品进行升级服务，以保证系统的安全平稳运行。 （6）产品运输、装卸、安装、调试由成交供应商负责。 （7）如果采购人在质保期外选择原厂产品维保，质保期外原厂产品的维保费用≤0.4万元/年（全保），如有配套软件需提供终身免费升级。（成交供应商须在中标后签订合同前向采购人提供加盖原厂鲜章的承诺函。） ★2.改造需求：室内装潢无需供应商改造，采购人自行装修。 ★3.供应商应当单独提供配置清单表，配置清单表中应当体现本项目所招标产品的组成部分，并详细列明。（格式自拟） ★4.知识产权：医院在中华人民共和国境内使用成交供应商提供的系统及服务时免受第三方提出的侵犯其专利权或其它知识产权的起诉。如果第三方提出侵权指控，成交供应商应承担由此而引起的一切法律责任和费用。未经医院同意，成交供应商不得以任何单位或个人名义，对外泄露或公开报告内容及相关文件资料、数据信息、重要结论等。 ★5.采购文件、响应文件、承诺约定、合同的附件与合同具有同等法律效力，如以上各文件相互有冲突或不一致的地方，应以有利于采购人解释为准。采购文件、响应文件、承诺约定、合同的附件及合同，如有中、英文两种版本的，应以有利于采购人解释为准。未尽事宜,双方另行协商解决。 ★6.无论是否成交，供应商均应自行承担在采购活动中产生的一切费用。 7.供应商需提供技术服务方案：包含以下五项：①项目目标方案；②工作内容及实施任务方案；③项目管理保障措施方案；④项目实施计划进度方案；⑤项目难点以及影响风险因素方案；详细的评审标准见综合评分表。 8.供应商需提供售后服务方案：包含以下四项： ①技术培训、安装、调试、验收的方案；②系统运行维护方案；③后续售后人员及岗位职责方案；④应急措施方案；详细的评审标准见综合评分表。 注：1、本采购文件“3.4商务要求”和带“★”的条款均为实质性要求。2、针对“3.5其他要求”内容，供应商应在商务应答表中响应。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NWZkMzEwNjY0YTc5ZDcwNzg3ZTIyNTYyOTZlNGIifQ=="/>
  </w:docVars>
  <w:rsids>
    <w:rsidRoot w:val="1E0B67DD"/>
    <w:rsid w:val="1E0B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2024-04-12T02:29:00Z</dcterms:created>
  <dc:creator>Fendiman.</dc:creator>
  <cp:lastModifiedBy>Fendiman.</cp:lastModifiedBy>
  <dcterms:modified xsi:type="dcterms:W3CDTF">2024-04-12T02:30:16Z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B0BB0E26FBE846A28D94582D30277B06_11</vt:lpwstr>
  </property>
</Properties>
</file>