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1"/>
      </w:pPr>
      <w:r>
        <w:rPr>
          <w:b/>
          <w:sz w:val="36"/>
        </w:rPr>
        <w:t xml:space="preserve"> 招标项目技术、服务、商务及其他要求</w:t>
      </w:r>
    </w:p>
    <w:p>
      <w:pPr>
        <w:pStyle w:val="4"/>
        <w:ind w:firstLine="480"/>
      </w:pPr>
      <w:r>
        <w:t xml:space="preserve"> （注：当采购包的评标方法为综合评分法时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pPr>
        <w:pStyle w:val="4"/>
        <w:ind w:firstLine="480"/>
      </w:pPr>
      <w:r>
        <w:t xml:space="preserve"> （注：当采购包的评标方法为最低评标价法时带“★”的参数需求为实质性要求，供应商必须响应并满足的参数需求，采购人、采购代理机构应当根据项目实际需求合理设定，并明确具体要求。）</w:t>
      </w:r>
    </w:p>
    <w:p>
      <w:pPr>
        <w:pStyle w:val="4"/>
        <w:outlineLvl w:val="2"/>
      </w:pPr>
      <w:r>
        <w:rPr>
          <w:b/>
          <w:sz w:val="28"/>
        </w:rPr>
        <w:t>3.1采购项目概况</w:t>
      </w:r>
    </w:p>
    <w:p>
      <w:pPr>
        <w:pStyle w:val="4"/>
        <w:ind w:firstLine="480"/>
      </w:pPr>
    </w:p>
    <w:p>
      <w:pPr>
        <w:pStyle w:val="4"/>
      </w:pPr>
    </w:p>
    <w:p>
      <w:pPr>
        <w:pStyle w:val="4"/>
      </w:pPr>
      <w:r>
        <w:t>自贡市第一人民医院需购置超声乳化仪。所购设备属于设备更新，现有设备整体性能落后，前房稳定性差，容易造成手术中角膜内皮以及后囊膜的损伤，为避免手术风险，现拟采购超声乳化仪，采购包括运输、安装、调试、培训、售后服务等。</w:t>
      </w:r>
    </w:p>
    <w:p>
      <w:pPr>
        <w:pStyle w:val="4"/>
        <w:outlineLvl w:val="2"/>
      </w:pPr>
      <w:r>
        <w:rPr>
          <w:b/>
          <w:sz w:val="28"/>
        </w:rPr>
        <w:t>3.2采购内容</w:t>
      </w:r>
    </w:p>
    <w:p>
      <w:pPr>
        <w:pStyle w:val="4"/>
        <w:outlineLvl w:val="3"/>
      </w:pPr>
      <w:r>
        <w:rPr>
          <w:b/>
          <w:sz w:val="24"/>
        </w:rPr>
        <w:t>3.2.1标的清单</w:t>
      </w:r>
    </w:p>
    <w:p>
      <w:pPr>
        <w:pStyle w:val="4"/>
      </w:pPr>
    </w:p>
    <w:p>
      <w:pPr>
        <w:pStyle w:val="4"/>
      </w:pPr>
    </w:p>
    <w:p>
      <w:pPr>
        <w:pStyle w:val="4"/>
      </w:pPr>
      <w:r>
        <w:t>采购包1：</w:t>
      </w:r>
    </w:p>
    <w:p>
      <w:pPr>
        <w:pStyle w:val="4"/>
      </w:pPr>
      <w:r>
        <w:t>采购包预算金额（元）: 1,280,000.00</w:t>
      </w:r>
    </w:p>
    <w:p>
      <w:pPr>
        <w:pStyle w:val="4"/>
      </w:pPr>
      <w:r>
        <w:t>采购包最高限价（元）: 1,280,000.00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8"/>
        <w:gridCol w:w="1271"/>
        <w:gridCol w:w="848"/>
        <w:gridCol w:w="1356"/>
        <w:gridCol w:w="678"/>
        <w:gridCol w:w="678"/>
        <w:gridCol w:w="593"/>
        <w:gridCol w:w="678"/>
        <w:gridCol w:w="678"/>
        <w:gridCol w:w="8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序号</w:t>
            </w:r>
          </w:p>
        </w:tc>
        <w:tc>
          <w:tcPr>
            <w:tcW w:w="1271" w:type="dxa"/>
          </w:tcPr>
          <w:p>
            <w:pPr>
              <w:pStyle w:val="4"/>
            </w:pPr>
            <w:r>
              <w:t>标的名称</w:t>
            </w:r>
          </w:p>
        </w:tc>
        <w:tc>
          <w:tcPr>
            <w:tcW w:w="848" w:type="dxa"/>
          </w:tcPr>
          <w:p>
            <w:pPr>
              <w:pStyle w:val="4"/>
            </w:pPr>
            <w:r>
              <w:t>数量</w:t>
            </w:r>
          </w:p>
        </w:tc>
        <w:tc>
          <w:tcPr>
            <w:tcW w:w="1356" w:type="dxa"/>
          </w:tcPr>
          <w:p>
            <w:pPr>
              <w:pStyle w:val="4"/>
            </w:pPr>
            <w:r>
              <w:t>标的金额 （元）</w:t>
            </w:r>
          </w:p>
        </w:tc>
        <w:tc>
          <w:tcPr>
            <w:tcW w:w="678" w:type="dxa"/>
          </w:tcPr>
          <w:p>
            <w:pPr>
              <w:pStyle w:val="4"/>
            </w:pPr>
            <w:r>
              <w:t>计量单位</w:t>
            </w:r>
          </w:p>
        </w:tc>
        <w:tc>
          <w:tcPr>
            <w:tcW w:w="678" w:type="dxa"/>
          </w:tcPr>
          <w:p>
            <w:pPr>
              <w:pStyle w:val="4"/>
            </w:pPr>
            <w:r>
              <w:t>所属行业</w:t>
            </w:r>
          </w:p>
        </w:tc>
        <w:tc>
          <w:tcPr>
            <w:tcW w:w="593" w:type="dxa"/>
          </w:tcPr>
          <w:p>
            <w:pPr>
              <w:pStyle w:val="4"/>
            </w:pPr>
            <w:r>
              <w:t>是否涉及核心产品</w:t>
            </w:r>
          </w:p>
        </w:tc>
        <w:tc>
          <w:tcPr>
            <w:tcW w:w="678" w:type="dxa"/>
          </w:tcPr>
          <w:p>
            <w:pPr>
              <w:pStyle w:val="4"/>
            </w:pPr>
            <w:r>
              <w:t>是否涉及采购进口产品</w:t>
            </w:r>
          </w:p>
        </w:tc>
        <w:tc>
          <w:tcPr>
            <w:tcW w:w="678" w:type="dxa"/>
          </w:tcPr>
          <w:p>
            <w:pPr>
              <w:pStyle w:val="4"/>
            </w:pPr>
            <w:r>
              <w:t>是否涉及采购节能产品</w:t>
            </w:r>
          </w:p>
        </w:tc>
        <w:tc>
          <w:tcPr>
            <w:tcW w:w="848" w:type="dxa"/>
          </w:tcPr>
          <w:p>
            <w:pPr>
              <w:pStyle w:val="4"/>
            </w:pPr>
            <w:r>
              <w:t>是否涉及采购环境标志产品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dxa"/>
          </w:tcPr>
          <w:p>
            <w:pPr>
              <w:pStyle w:val="4"/>
            </w:pPr>
            <w:r>
              <w:t>1</w:t>
            </w:r>
          </w:p>
        </w:tc>
        <w:tc>
          <w:tcPr>
            <w:tcW w:w="1271" w:type="dxa"/>
          </w:tcPr>
          <w:p>
            <w:pPr>
              <w:pStyle w:val="4"/>
            </w:pPr>
            <w:bookmarkStart w:id="0" w:name="_GoBack"/>
            <w:r>
              <w:t>超声乳化仪</w:t>
            </w:r>
            <w:bookmarkEnd w:id="0"/>
          </w:p>
        </w:tc>
        <w:tc>
          <w:tcPr>
            <w:tcW w:w="848" w:type="dxa"/>
          </w:tcPr>
          <w:p>
            <w:pPr>
              <w:pStyle w:val="4"/>
              <w:jc w:val="right"/>
            </w:pPr>
            <w:r>
              <w:t>1.00</w:t>
            </w:r>
          </w:p>
        </w:tc>
        <w:tc>
          <w:tcPr>
            <w:tcW w:w="1356" w:type="dxa"/>
          </w:tcPr>
          <w:p>
            <w:pPr>
              <w:pStyle w:val="4"/>
              <w:jc w:val="right"/>
            </w:pPr>
            <w:r>
              <w:t>1,280,000.00</w:t>
            </w:r>
          </w:p>
        </w:tc>
        <w:tc>
          <w:tcPr>
            <w:tcW w:w="678" w:type="dxa"/>
          </w:tcPr>
          <w:p>
            <w:pPr>
              <w:pStyle w:val="4"/>
            </w:pPr>
            <w:r>
              <w:t>台</w:t>
            </w:r>
          </w:p>
        </w:tc>
        <w:tc>
          <w:tcPr>
            <w:tcW w:w="678" w:type="dxa"/>
          </w:tcPr>
          <w:p>
            <w:pPr>
              <w:pStyle w:val="4"/>
            </w:pPr>
            <w:r>
              <w:t>工业</w:t>
            </w:r>
          </w:p>
        </w:tc>
        <w:tc>
          <w:tcPr>
            <w:tcW w:w="593" w:type="dxa"/>
          </w:tcPr>
          <w:p>
            <w:pPr>
              <w:pStyle w:val="4"/>
            </w:pPr>
            <w:r>
              <w:t>是</w:t>
            </w:r>
          </w:p>
        </w:tc>
        <w:tc>
          <w:tcPr>
            <w:tcW w:w="678" w:type="dxa"/>
          </w:tcPr>
          <w:p>
            <w:pPr>
              <w:pStyle w:val="4"/>
            </w:pPr>
            <w:r>
              <w:t>是</w:t>
            </w:r>
          </w:p>
        </w:tc>
        <w:tc>
          <w:tcPr>
            <w:tcW w:w="678" w:type="dxa"/>
          </w:tcPr>
          <w:p>
            <w:pPr>
              <w:pStyle w:val="4"/>
            </w:pPr>
            <w:r>
              <w:t>否</w:t>
            </w:r>
          </w:p>
        </w:tc>
        <w:tc>
          <w:tcPr>
            <w:tcW w:w="848" w:type="dxa"/>
          </w:tcPr>
          <w:p>
            <w:pPr>
              <w:pStyle w:val="4"/>
            </w:pPr>
            <w:r>
              <w:t>否</w:t>
            </w:r>
          </w:p>
        </w:tc>
      </w:tr>
    </w:tbl>
    <w:p>
      <w:pPr>
        <w:pStyle w:val="4"/>
        <w:outlineLvl w:val="2"/>
      </w:pPr>
      <w:r>
        <w:rPr>
          <w:b/>
          <w:sz w:val="28"/>
        </w:rPr>
        <w:t>3.3技术要求</w:t>
      </w:r>
    </w:p>
    <w:p>
      <w:pPr>
        <w:pStyle w:val="4"/>
      </w:pPr>
    </w:p>
    <w:p>
      <w:pPr>
        <w:pStyle w:val="4"/>
      </w:pPr>
    </w:p>
    <w:p>
      <w:pPr>
        <w:pStyle w:val="4"/>
      </w:pPr>
    </w:p>
    <w:p>
      <w:pPr>
        <w:pStyle w:val="4"/>
      </w:pPr>
      <w:r>
        <w:t>采购包1：</w:t>
      </w:r>
    </w:p>
    <w:p>
      <w:pPr>
        <w:pStyle w:val="4"/>
      </w:pPr>
    </w:p>
    <w:p>
      <w:pPr>
        <w:pStyle w:val="4"/>
      </w:pPr>
      <w:r>
        <w:t>标的名称：超声乳化仪</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w:t>
            </w:r>
          </w:p>
        </w:tc>
        <w:tc>
          <w:tcPr>
            <w:tcW w:w="2769" w:type="dxa"/>
          </w:tcPr>
          <w:p>
            <w:pPr>
              <w:pStyle w:val="4"/>
            </w:pPr>
            <w:r>
              <w:t>1</w:t>
            </w:r>
          </w:p>
        </w:tc>
        <w:tc>
          <w:tcPr>
            <w:tcW w:w="2769" w:type="dxa"/>
          </w:tcPr>
          <w:p>
            <w:pPr>
              <w:pStyle w:val="4"/>
            </w:pPr>
            <w:r>
              <w:rPr>
                <w:rFonts w:ascii="仿宋" w:hAnsi="仿宋" w:eastAsia="仿宋" w:cs="仿宋"/>
                <w:b/>
                <w:sz w:val="24"/>
              </w:rPr>
              <w:t>一、配置清单</w:t>
            </w:r>
          </w:p>
          <w:tbl>
            <w:tblPr>
              <w:tblStyle w:val="2"/>
              <w:tblW w:w="0" w:type="auto"/>
              <w:tblInd w:w="19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71"/>
              <w:gridCol w:w="882"/>
              <w:gridCol w:w="470"/>
              <w:gridCol w:w="53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序号</w:t>
                  </w:r>
                </w:p>
              </w:tc>
              <w:tc>
                <w:tcPr>
                  <w:tcW w:w="194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货物名称</w:t>
                  </w:r>
                </w:p>
              </w:tc>
              <w:tc>
                <w:tcPr>
                  <w:tcW w:w="5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数量</w:t>
                  </w:r>
                </w:p>
              </w:tc>
              <w:tc>
                <w:tcPr>
                  <w:tcW w:w="80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单位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1</w:t>
                  </w:r>
                </w:p>
              </w:tc>
              <w:tc>
                <w:tcPr>
                  <w:tcW w:w="194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超声乳化仪主机</w:t>
                  </w:r>
                </w:p>
              </w:tc>
              <w:tc>
                <w:tcPr>
                  <w:tcW w:w="53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1</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2</w:t>
                  </w:r>
                </w:p>
              </w:tc>
              <w:tc>
                <w:tcPr>
                  <w:tcW w:w="194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脚踏开关</w:t>
                  </w:r>
                </w:p>
              </w:tc>
              <w:tc>
                <w:tcPr>
                  <w:tcW w:w="53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1</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3</w:t>
                  </w:r>
                </w:p>
              </w:tc>
              <w:tc>
                <w:tcPr>
                  <w:tcW w:w="194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超声乳化手柄</w:t>
                  </w:r>
                </w:p>
              </w:tc>
              <w:tc>
                <w:tcPr>
                  <w:tcW w:w="53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5</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4</w:t>
                  </w:r>
                </w:p>
              </w:tc>
              <w:tc>
                <w:tcPr>
                  <w:tcW w:w="194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20号超乳探针</w:t>
                  </w:r>
                </w:p>
              </w:tc>
              <w:tc>
                <w:tcPr>
                  <w:tcW w:w="53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6</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5</w:t>
                  </w:r>
                </w:p>
              </w:tc>
              <w:tc>
                <w:tcPr>
                  <w:tcW w:w="194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20G灌注套和测试腔</w:t>
                  </w:r>
                </w:p>
              </w:tc>
              <w:tc>
                <w:tcPr>
                  <w:tcW w:w="53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6</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6</w:t>
                  </w:r>
                </w:p>
              </w:tc>
              <w:tc>
                <w:tcPr>
                  <w:tcW w:w="194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针头扳手</w:t>
                  </w:r>
                </w:p>
              </w:tc>
              <w:tc>
                <w:tcPr>
                  <w:tcW w:w="53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1</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7</w:t>
                  </w:r>
                </w:p>
              </w:tc>
              <w:tc>
                <w:tcPr>
                  <w:tcW w:w="194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注/吸手柄</w:t>
                  </w:r>
                </w:p>
              </w:tc>
              <w:tc>
                <w:tcPr>
                  <w:tcW w:w="53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5</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8</w:t>
                  </w:r>
                </w:p>
              </w:tc>
              <w:tc>
                <w:tcPr>
                  <w:tcW w:w="194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45度带灌注套注吸针头</w:t>
                  </w:r>
                </w:p>
              </w:tc>
              <w:tc>
                <w:tcPr>
                  <w:tcW w:w="53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4</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9</w:t>
                  </w:r>
                </w:p>
              </w:tc>
              <w:tc>
                <w:tcPr>
                  <w:tcW w:w="194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双泵型管道套装</w:t>
                  </w:r>
                </w:p>
              </w:tc>
              <w:tc>
                <w:tcPr>
                  <w:tcW w:w="53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48</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10</w:t>
                  </w:r>
                </w:p>
              </w:tc>
              <w:tc>
                <w:tcPr>
                  <w:tcW w:w="194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20号气动玻切刀</w:t>
                  </w:r>
                </w:p>
              </w:tc>
              <w:tc>
                <w:tcPr>
                  <w:tcW w:w="53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48</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11</w:t>
                  </w:r>
                </w:p>
              </w:tc>
              <w:tc>
                <w:tcPr>
                  <w:tcW w:w="194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电凝镊</w:t>
                  </w:r>
                </w:p>
              </w:tc>
              <w:tc>
                <w:tcPr>
                  <w:tcW w:w="53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2</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12</w:t>
                  </w:r>
                </w:p>
              </w:tc>
              <w:tc>
                <w:tcPr>
                  <w:tcW w:w="194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电凝线</w:t>
                  </w:r>
                </w:p>
              </w:tc>
              <w:tc>
                <w:tcPr>
                  <w:tcW w:w="53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2</w:t>
                  </w:r>
                </w:p>
              </w:tc>
              <w:tc>
                <w:tcPr>
                  <w:tcW w:w="8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24"/>
                    </w:rPr>
                    <w:t>个</w:t>
                  </w:r>
                </w:p>
              </w:tc>
            </w:tr>
          </w:tbl>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2</w:t>
            </w:r>
          </w:p>
        </w:tc>
        <w:tc>
          <w:tcPr>
            <w:tcW w:w="2769" w:type="dxa"/>
          </w:tcPr>
          <w:p>
            <w:pPr>
              <w:pStyle w:val="4"/>
              <w:jc w:val="left"/>
            </w:pPr>
            <w:r>
              <w:rPr>
                <w:rFonts w:ascii="仿宋" w:hAnsi="仿宋" w:eastAsia="仿宋" w:cs="仿宋"/>
                <w:b/>
                <w:sz w:val="24"/>
              </w:rPr>
              <w:t>二、技术参数要求</w:t>
            </w:r>
          </w:p>
          <w:p>
            <w:pPr>
              <w:pStyle w:val="4"/>
              <w:jc w:val="both"/>
            </w:pPr>
            <w:r>
              <w:rPr>
                <w:rFonts w:ascii="仿宋" w:hAnsi="仿宋" w:eastAsia="仿宋" w:cs="仿宋"/>
                <w:sz w:val="24"/>
              </w:rPr>
              <w:t>1、主机高度≥150cm，彩色液晶直观触摸屏≥16.8英寸，带语音确认功能，电源线≥6米。</w:t>
            </w:r>
          </w:p>
          <w:p>
            <w:pPr>
              <w:pStyle w:val="4"/>
              <w:jc w:val="both"/>
            </w:pPr>
            <w:r>
              <w:rPr>
                <w:rFonts w:ascii="仿宋" w:hAnsi="仿宋" w:eastAsia="仿宋" w:cs="仿宋"/>
                <w:sz w:val="24"/>
              </w:rPr>
              <w:t>2、可编程静脉输液架行程≥106cm，速率≥6cm/秒，最大承重1.1kg。</w:t>
            </w:r>
          </w:p>
          <w:p>
            <w:pPr>
              <w:pStyle w:val="4"/>
              <w:jc w:val="both"/>
            </w:pPr>
            <w:r>
              <w:rPr>
                <w:rFonts w:ascii="仿宋" w:hAnsi="仿宋" w:eastAsia="仿宋" w:cs="仿宋"/>
                <w:sz w:val="24"/>
              </w:rPr>
              <w:t>3、既可选择配置双线性脚踏也可选择配置单线性脚踏，脚踏线长≥360cm，也可选择使用无线连接方式，可选择配置无线遥控器并配备交流电充电器。</w:t>
            </w:r>
          </w:p>
          <w:p>
            <w:pPr>
              <w:pStyle w:val="4"/>
              <w:jc w:val="both"/>
            </w:pPr>
            <w:r>
              <w:rPr>
                <w:rFonts w:ascii="仿宋" w:hAnsi="仿宋" w:eastAsia="仿宋" w:cs="仿宋"/>
                <w:sz w:val="24"/>
              </w:rPr>
              <w:t>4、▲具有双泵系统，即蠕动泵和文丘里泵。同一台手术中能通过踏板的侧面开关在两种泵间飞速自由切换。</w:t>
            </w:r>
          </w:p>
          <w:p>
            <w:pPr>
              <w:pStyle w:val="4"/>
              <w:jc w:val="both"/>
            </w:pPr>
            <w:r>
              <w:rPr>
                <w:rFonts w:ascii="仿宋" w:hAnsi="仿宋" w:eastAsia="仿宋" w:cs="仿宋"/>
                <w:sz w:val="24"/>
              </w:rPr>
              <w:t>5、配置有助于前房稳定性的一次性小孔径双泵管道，可自由选择同一品牌厂家生产的直式、弯曲式、19G、20G、21G、喇叭口等多样性超乳针头，超声乳化手柄频率≥38KHz。</w:t>
            </w:r>
          </w:p>
          <w:p>
            <w:pPr>
              <w:pStyle w:val="4"/>
              <w:jc w:val="both"/>
            </w:pPr>
            <w:r>
              <w:rPr>
                <w:rFonts w:ascii="仿宋" w:hAnsi="仿宋" w:eastAsia="仿宋" w:cs="仿宋"/>
                <w:sz w:val="24"/>
              </w:rPr>
              <w:t>6、前部玻璃体切割频率≥2500cpm，可选择使用20G、23G、25G玻切头。</w:t>
            </w:r>
          </w:p>
          <w:p>
            <w:pPr>
              <w:pStyle w:val="4"/>
              <w:jc w:val="both"/>
            </w:pPr>
            <w:r>
              <w:rPr>
                <w:rFonts w:ascii="仿宋" w:hAnsi="仿宋" w:eastAsia="仿宋" w:cs="仿宋"/>
                <w:sz w:val="24"/>
              </w:rPr>
              <w:t>7、▲能通过平板应用程序中的分析工具，进行白内障手术参数分析和数据统计，来管理手术系统和优化手术系统的每一个手术。</w:t>
            </w:r>
          </w:p>
          <w:p>
            <w:pPr>
              <w:pStyle w:val="4"/>
              <w:jc w:val="both"/>
            </w:pPr>
            <w:r>
              <w:rPr>
                <w:rFonts w:ascii="仿宋" w:hAnsi="仿宋" w:eastAsia="仿宋" w:cs="仿宋"/>
                <w:sz w:val="24"/>
              </w:rPr>
              <w:t>8、前房稳定技术，通过预设的负压值，实现高负压手术，使前房更稳定，手术更安全。</w:t>
            </w:r>
          </w:p>
          <w:p>
            <w:pPr>
              <w:pStyle w:val="4"/>
              <w:jc w:val="both"/>
            </w:pPr>
            <w:r>
              <w:rPr>
                <w:rFonts w:ascii="仿宋" w:hAnsi="仿宋" w:eastAsia="仿宋" w:cs="仿宋"/>
                <w:sz w:val="24"/>
              </w:rPr>
              <w:t>9、蠕动泵负压≥650mmHg，步长5 mmHg，文丘里泵负压≥600mmHg，步长5 mmHg。抽吸速率≥60cc/分钟，步长1cc/分钟。</w:t>
            </w:r>
          </w:p>
          <w:p>
            <w:pPr>
              <w:pStyle w:val="4"/>
              <w:jc w:val="both"/>
            </w:pPr>
            <w:r>
              <w:rPr>
                <w:rFonts w:ascii="仿宋" w:hAnsi="仿宋" w:eastAsia="仿宋" w:cs="仿宋"/>
                <w:sz w:val="24"/>
              </w:rPr>
              <w:t>10、▲横向超声，同时联合横向和纵向的超声乳化技术，实现连续的椭圆形三维立体超声，增强超乳针头末端的跟随性和核块握持力。</w:t>
            </w:r>
          </w:p>
          <w:p>
            <w:pPr>
              <w:pStyle w:val="4"/>
              <w:jc w:val="both"/>
            </w:pPr>
            <w:r>
              <w:rPr>
                <w:rFonts w:ascii="仿宋" w:hAnsi="仿宋" w:eastAsia="仿宋" w:cs="仿宋"/>
                <w:sz w:val="24"/>
              </w:rPr>
              <w:t>11、▲泵限压点设置：可以任意设置泵限压点，满足不同病例需求。</w:t>
            </w:r>
          </w:p>
          <w:p>
            <w:pPr>
              <w:pStyle w:val="4"/>
              <w:jc w:val="left"/>
            </w:pPr>
            <w:r>
              <w:rPr>
                <w:rFonts w:ascii="仿宋" w:hAnsi="仿宋" w:eastAsia="仿宋" w:cs="仿宋"/>
                <w:sz w:val="24"/>
              </w:rPr>
              <w:t>12、▲系统可设置50位及以上手术医生的手术参数，并可自定义命名，每位手术医生名下可设置20个及以上个性化手术程序，每个程序下有11个及以上子模式，可自定义子模式名称。</w:t>
            </w:r>
          </w:p>
          <w:p>
            <w:pPr>
              <w:pStyle w:val="4"/>
              <w:jc w:val="both"/>
            </w:pPr>
            <w:r>
              <w:rPr>
                <w:rFonts w:ascii="仿宋" w:hAnsi="仿宋" w:eastAsia="仿宋" w:cs="仿宋"/>
                <w:sz w:val="24"/>
              </w:rPr>
              <w:t>13、▲超声乳化功率模式≥9种。</w:t>
            </w:r>
          </w:p>
          <w:p>
            <w:pPr>
              <w:pStyle w:val="4"/>
              <w:jc w:val="both"/>
            </w:pPr>
            <w:r>
              <w:rPr>
                <w:rFonts w:ascii="仿宋" w:hAnsi="仿宋" w:eastAsia="仿宋" w:cs="仿宋"/>
                <w:sz w:val="24"/>
              </w:rPr>
              <w:t>14、▲堵塞模式，机器能自动识别是否抓到核，针头堵塞时按预设的程序自动切换能量模式大小和流速大小，来保证手术安全高效。</w:t>
            </w:r>
          </w:p>
          <w:p>
            <w:pPr>
              <w:pStyle w:val="4"/>
              <w:jc w:val="both"/>
            </w:pPr>
            <w:r>
              <w:rPr>
                <w:rFonts w:ascii="仿宋" w:hAnsi="仿宋" w:eastAsia="仿宋" w:cs="仿宋"/>
                <w:sz w:val="24"/>
              </w:rPr>
              <w:t>15、回吐排气、排放模式可预先选择设置为吊瓶重力方式或者电机模式。</w:t>
            </w:r>
          </w:p>
          <w:p>
            <w:pPr>
              <w:pStyle w:val="4"/>
              <w:jc w:val="both"/>
            </w:pPr>
            <w:r>
              <w:rPr>
                <w:rFonts w:ascii="仿宋" w:hAnsi="仿宋" w:eastAsia="仿宋" w:cs="仿宋"/>
                <w:sz w:val="24"/>
              </w:rPr>
              <w:t>16、脉冲整形技术，可提高激发时间首毫秒“ 尖峰能量” 的幅度，可设置幅度≥10%。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3</w:t>
            </w:r>
          </w:p>
        </w:tc>
        <w:tc>
          <w:tcPr>
            <w:tcW w:w="2769" w:type="dxa"/>
          </w:tcPr>
          <w:p>
            <w:pPr>
              <w:pStyle w:val="4"/>
              <w:jc w:val="both"/>
            </w:pPr>
            <w:r>
              <w:rPr>
                <w:rFonts w:ascii="仿宋" w:hAnsi="仿宋" w:eastAsia="仿宋" w:cs="仿宋"/>
                <w:b/>
                <w:sz w:val="24"/>
              </w:rPr>
              <w:t>注：以上涉及的标准、规范若已作废或未提及的，以国家最新的标准、规范为准。</w:t>
            </w:r>
          </w:p>
        </w:tc>
      </w:tr>
    </w:tbl>
    <w:p>
      <w:pPr>
        <w:pStyle w:val="4"/>
        <w:outlineLvl w:val="2"/>
      </w:pPr>
      <w:r>
        <w:rPr>
          <w:b/>
          <w:sz w:val="28"/>
        </w:rPr>
        <w:t>3.4商务要求</w:t>
      </w:r>
    </w:p>
    <w:p>
      <w:pPr>
        <w:pStyle w:val="4"/>
        <w:outlineLvl w:val="3"/>
      </w:pPr>
      <w:r>
        <w:rPr>
          <w:b/>
          <w:sz w:val="24"/>
        </w:rPr>
        <w:t>3.4.1交货时间</w:t>
      </w:r>
    </w:p>
    <w:p>
      <w:pPr>
        <w:pStyle w:val="4"/>
      </w:pPr>
    </w:p>
    <w:p>
      <w:pPr>
        <w:pStyle w:val="4"/>
      </w:pPr>
    </w:p>
    <w:p>
      <w:pPr>
        <w:pStyle w:val="4"/>
      </w:pPr>
    </w:p>
    <w:p>
      <w:pPr>
        <w:pStyle w:val="4"/>
      </w:pPr>
      <w:r>
        <w:t>采购包1：</w:t>
      </w:r>
    </w:p>
    <w:p>
      <w:pPr>
        <w:pStyle w:val="4"/>
      </w:pPr>
      <w:r>
        <w:t xml:space="preserve"> 自合同签订之日起20日</w:t>
      </w:r>
    </w:p>
    <w:p>
      <w:pPr>
        <w:pStyle w:val="4"/>
        <w:outlineLvl w:val="3"/>
      </w:pPr>
      <w:r>
        <w:rPr>
          <w:b/>
          <w:sz w:val="24"/>
        </w:rPr>
        <w:t>3.4.2交货地点</w:t>
      </w:r>
    </w:p>
    <w:p>
      <w:pPr>
        <w:pStyle w:val="4"/>
      </w:pPr>
    </w:p>
    <w:p>
      <w:pPr>
        <w:pStyle w:val="4"/>
      </w:pPr>
    </w:p>
    <w:p>
      <w:pPr>
        <w:pStyle w:val="4"/>
      </w:pPr>
    </w:p>
    <w:p>
      <w:pPr>
        <w:pStyle w:val="4"/>
      </w:pPr>
      <w:r>
        <w:t>采购包1：</w:t>
      </w:r>
    </w:p>
    <w:p>
      <w:pPr>
        <w:pStyle w:val="4"/>
      </w:pPr>
      <w:r>
        <w:t>自贡市第一人民医院</w:t>
      </w:r>
    </w:p>
    <w:p>
      <w:pPr>
        <w:pStyle w:val="4"/>
        <w:outlineLvl w:val="3"/>
      </w:pPr>
      <w:r>
        <w:rPr>
          <w:b/>
          <w:sz w:val="24"/>
        </w:rPr>
        <w:t>3.4.3支付方式</w:t>
      </w:r>
    </w:p>
    <w:p>
      <w:pPr>
        <w:pStyle w:val="4"/>
      </w:pPr>
    </w:p>
    <w:p>
      <w:pPr>
        <w:pStyle w:val="4"/>
      </w:pPr>
    </w:p>
    <w:p>
      <w:pPr>
        <w:pStyle w:val="4"/>
      </w:pPr>
    </w:p>
    <w:p>
      <w:pPr>
        <w:pStyle w:val="4"/>
      </w:pPr>
      <w:r>
        <w:t>采购包1：</w:t>
      </w:r>
    </w:p>
    <w:p>
      <w:pPr>
        <w:pStyle w:val="4"/>
      </w:pPr>
      <w:r>
        <w:t>分期付款</w:t>
      </w:r>
    </w:p>
    <w:p>
      <w:pPr>
        <w:pStyle w:val="4"/>
        <w:outlineLvl w:val="3"/>
      </w:pPr>
      <w:r>
        <w:rPr>
          <w:b/>
          <w:sz w:val="24"/>
        </w:rPr>
        <w:t>3.4.4支付约定</w:t>
      </w:r>
    </w:p>
    <w:p>
      <w:pPr>
        <w:pStyle w:val="4"/>
      </w:pPr>
    </w:p>
    <w:p>
      <w:pPr>
        <w:pStyle w:val="4"/>
      </w:pPr>
    </w:p>
    <w:p>
      <w:pPr>
        <w:pStyle w:val="4"/>
      </w:pPr>
    </w:p>
    <w:p>
      <w:pPr>
        <w:pStyle w:val="4"/>
      </w:pPr>
      <w:r>
        <w:t>采购包1： 付款条件说明： 合同签订之日起 ，达到付款条件起 14 日内，支付合同总金额的 10.00%。</w:t>
      </w:r>
    </w:p>
    <w:p>
      <w:pPr>
        <w:pStyle w:val="4"/>
      </w:pPr>
      <w:r>
        <w:t>采购包1： 付款条件说明： 安装调试完毕并验收合格后，中标人开具发票，招标人自收到发票之日起 ，达到付款条件起 14 日内，支付合同总金额的 30.00%。</w:t>
      </w:r>
    </w:p>
    <w:p>
      <w:pPr>
        <w:pStyle w:val="4"/>
      </w:pPr>
      <w:r>
        <w:t>采购包1： 付款条件说明： 合同签订之日起6个月内 ，达到付款条件起 14 日内，支付合同总金额的 50.00%。</w:t>
      </w:r>
    </w:p>
    <w:p>
      <w:pPr>
        <w:pStyle w:val="4"/>
      </w:pPr>
      <w:r>
        <w:t>采购包1： 付款条件说明： 验收合格满一年后 ，达到付款条件起 14 日内，支付合同总金额的 10.00%。</w:t>
      </w:r>
    </w:p>
    <w:p>
      <w:pPr>
        <w:pStyle w:val="4"/>
        <w:outlineLvl w:val="3"/>
      </w:pPr>
      <w:r>
        <w:rPr>
          <w:b/>
          <w:sz w:val="24"/>
        </w:rPr>
        <w:t>3.4.5验收标准和方法</w:t>
      </w:r>
    </w:p>
    <w:p>
      <w:pPr>
        <w:pStyle w:val="4"/>
      </w:pPr>
    </w:p>
    <w:p>
      <w:pPr>
        <w:pStyle w:val="4"/>
      </w:pPr>
    </w:p>
    <w:p>
      <w:pPr>
        <w:pStyle w:val="4"/>
      </w:pPr>
    </w:p>
    <w:p>
      <w:pPr>
        <w:pStyle w:val="4"/>
      </w:pPr>
      <w:r>
        <w:t>采购包1：</w:t>
      </w:r>
    </w:p>
    <w:p>
      <w:pPr>
        <w:pStyle w:val="4"/>
      </w:pPr>
      <w:r>
        <w:t>（1）产品使用质保期5年（含5年）以下的，中标人需提供出厂日期为半年内的货物；产品使用质保期5年以上的，中标人需提供出厂日期为一年内的货物。 （2）按照政府采购相关法律法规以及《财政部关于进一步加强政府采购需求和履约验收管理的指导意见》（财库[2016]205号）的规定，严格按照招标文件的质量要求和技术指标、投标人的投标文件及承诺、国家有关部门批准的技术标准、双方签订的合同，共同现场验收。同时提供相关证明文件，否则视为验收不合格，招标人有权单方面解除合同。</w:t>
      </w:r>
    </w:p>
    <w:p>
      <w:pPr>
        <w:pStyle w:val="4"/>
        <w:outlineLvl w:val="3"/>
      </w:pPr>
      <w:r>
        <w:rPr>
          <w:b/>
          <w:sz w:val="24"/>
        </w:rPr>
        <w:t>3.4.6包装方式及运输</w:t>
      </w:r>
    </w:p>
    <w:p>
      <w:pPr>
        <w:pStyle w:val="4"/>
      </w:pPr>
    </w:p>
    <w:p>
      <w:pPr>
        <w:pStyle w:val="4"/>
      </w:pPr>
    </w:p>
    <w:p>
      <w:pPr>
        <w:pStyle w:val="4"/>
      </w:pPr>
    </w:p>
    <w:p>
      <w:pPr>
        <w:pStyle w:val="4"/>
      </w:pPr>
      <w:r>
        <w:t>采购包1：</w:t>
      </w:r>
    </w:p>
    <w:p>
      <w:pPr>
        <w:pStyle w:val="4"/>
      </w:pPr>
      <w:r>
        <w:t>涉及的商品包装和快递包装，均应符合《商品包装政府采购需求标准（试行）》《快递包装政府采购需求标准（试行）》的要求，包装应适应于远距离运输、防潮、防震、防锈和防野蛮装卸，以确保货物安全无损运抵指定地点。</w:t>
      </w:r>
    </w:p>
    <w:p>
      <w:pPr>
        <w:pStyle w:val="4"/>
        <w:outlineLvl w:val="3"/>
      </w:pPr>
      <w:r>
        <w:rPr>
          <w:b/>
          <w:sz w:val="24"/>
        </w:rPr>
        <w:t>3.4.7质量保修范围和保修期</w:t>
      </w:r>
    </w:p>
    <w:p>
      <w:pPr>
        <w:pStyle w:val="4"/>
      </w:pPr>
    </w:p>
    <w:p>
      <w:pPr>
        <w:pStyle w:val="4"/>
      </w:pPr>
    </w:p>
    <w:p>
      <w:pPr>
        <w:pStyle w:val="4"/>
      </w:pPr>
    </w:p>
    <w:p>
      <w:pPr>
        <w:pStyle w:val="4"/>
      </w:pPr>
      <w:r>
        <w:t>采购包1：</w:t>
      </w:r>
    </w:p>
    <w:p>
      <w:pPr>
        <w:pStyle w:val="4"/>
      </w:pPr>
      <w:r>
        <w:t>产品质保期≥3年（自验收合格之日起）。质保期内中标人免费提供该产品的原厂维修、保养等服务，如有配套软件需提供终身免费升级。（须单独提供承诺函并加盖电子签章，格式自拟）</w:t>
      </w:r>
    </w:p>
    <w:p>
      <w:pPr>
        <w:pStyle w:val="4"/>
        <w:outlineLvl w:val="3"/>
      </w:pPr>
      <w:r>
        <w:rPr>
          <w:b/>
          <w:sz w:val="24"/>
        </w:rPr>
        <w:t>3.4.8违约责任与解决争议的方法</w:t>
      </w:r>
    </w:p>
    <w:p>
      <w:pPr>
        <w:pStyle w:val="4"/>
      </w:pPr>
    </w:p>
    <w:p>
      <w:pPr>
        <w:pStyle w:val="4"/>
      </w:pPr>
    </w:p>
    <w:p>
      <w:pPr>
        <w:pStyle w:val="4"/>
      </w:pPr>
    </w:p>
    <w:p>
      <w:pPr>
        <w:pStyle w:val="4"/>
      </w:pPr>
      <w:r>
        <w:t>采购包1：</w:t>
      </w:r>
    </w:p>
    <w:p>
      <w:pPr>
        <w:pStyle w:val="4"/>
      </w:pPr>
      <w:r>
        <w:t>违约责任：（1）合同双方如有一方不履行合同义务或者履行合同义务不符合合同约定的,除另有注明者外，均按合同总价的1%支付对方违约金，造成对方损失的还应赔偿损失。（2）中标人如违反本合同售后服务协议条款的内容，除应继续按照售后服务要求提供售后服务外还应按合同总金额的5%承担违约责任。（3）若中标人在质保期内超过4个日历日不能按售后服务要求提供产品和备件，招标人有权自行采购，因此产生的费用由中标人承担。争议解决方法：双方根据本合同原则，友好协商解决；协商无效的，可向自贡仲裁委员会申请仲裁。</w:t>
      </w:r>
    </w:p>
    <w:p>
      <w:pPr>
        <w:pStyle w:val="4"/>
        <w:jc w:val="left"/>
        <w:outlineLvl w:val="2"/>
      </w:pPr>
      <w:r>
        <w:rPr>
          <w:b/>
          <w:sz w:val="28"/>
        </w:rPr>
        <w:t>3.5其他要求</w:t>
      </w:r>
    </w:p>
    <w:p>
      <w:pPr>
        <w:pStyle w:val="4"/>
      </w:pPr>
    </w:p>
    <w:p>
      <w:pPr>
        <w:pStyle w:val="4"/>
      </w:pPr>
    </w:p>
    <w:p>
      <w:pPr>
        <w:pStyle w:val="4"/>
      </w:pPr>
      <w:r>
        <w:t>1.售后服务要求： （1）有完善的售后服务体系，有在线应用服务中心，有专职服务人员在线对已安装的机器进行应用培训服务，实时解决机器的问题；设有维修服务网点，有专业的维修工程师团队，提供相关证明文件并列举姓名和电话。当产品出现故障时，中标人应在接到通知后立即作出响应，24小时内到达现场维修。在中国有零部件储备仓库，能及时提供配件，保证维修速度。如一时无法修复，则提供备用产品。质保期结束后，中标人仍应负责对产品提供终生维修服务，只收取配件成本，并提供免费的报修电话。保障设备完好率≥95%（按365天计算），耽误一天则质保期顺延5个工作日。 ★（2）产品运输、装卸、安装、调试由中标人负责。 ★（3）为保证产品正常运行，中标人应承诺在中国境内方便的地点设置备件库，存入所有必需的备件，并保证10年以上的供应期。 ★（4）中标人须向招标人提供操作手册，并提供产品的运行、安装、使用环境要求。 （5）在产品到达使用单位后，中标人应在7天内派工程技术人员到达现场，在招标人技术人员在场的情况下开箱清点货物，组织安装、调试，对诊断医师和操作人员的培训时间不少于一周（教会正确的使用为止），并承担由此发生的一切费用。 ★（6）保修期内中标人的工程技术人员应提供每年不少于2次的维护保养服务，所需费用均由中标人承担。 ★（7）投标人对提供的设备所需的耗材必须有书面的优惠承诺，并在合同有效期内有效。 ★（8）如有需要，投标人应根据医院现有的业务（本次采购的产品）用房，免费设计合理的机房，并现场指导。 ★2.投标人应当单独提供配置清单表，配置清单表中应当体现本项目所招标产品的组成部分，并详细列明。（格式自拟） ★3.技术标准及质量保证：合同产品的名称、技术规范、数量及质量应与招标文件及被招标人接受的规格、性能相一致，并保证所供产品的设计、采购、制造、检验、包装、安装等各个环节符合国家相应的质量管理和质量保证体系，否则招标人可无条件退货处理。若因中标人产品质量原因，导致招标人和第三方损失，中标人应赔偿包括鉴定费、律师费等所有损失。 ★4.招标文件、投标文件、承诺约定、合同的附件与合同具有同等法律效力，如以上各文件相互有冲突或不一致的地方，应以有利于招标人解释为准。招标文件、投标文件、承诺约定、合同的附件及合同，如有中、英文两种版本的，应以有利于招标人解释为准。未尽事宜,双方另行协商解决。 ★5.无论是否中标，投标人均应自行承担在采购活动中产生的一切费用。 6.根据投标人所提供的服务方案进行打分：（1）质量保障方案包含响应产品的采购流程及保存仓储条件方案、安装调试方案及措施、质量管理制度方案、项目实施计划及安全保障方案；（2）售后服务方案包含售后产品质量保障方案、售后服务响应时间方案、培训服务方案、售后服务人员配置方案、售后应急方案。（详见综合评分明细表） 注：1、本招标文件“3.4商务要求”和带“★”的条款均为实质性要求。2、针对“3.5其他要求”内容，投标人应在商务应答表中响应。</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lNWZkMzEwNjY0YTc5ZDcwNzg3ZTIyNTYyOTZlNGIifQ=="/>
  </w:docVars>
  <w:rsids>
    <w:rsidRoot w:val="17673942"/>
    <w:rsid w:val="17673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2024-04-15T09:00:00Z</dcterms:created>
  <dc:creator>Fendiman.</dc:creator>
  <cp:lastModifiedBy>Fendiman.</cp:lastModifiedBy>
  <dcterms:modified xsi:type="dcterms:W3CDTF">2024-04-15T09:01:25Z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29259E9334CD4FF6A8C366FDC69A3214_11</vt:lpwstr>
  </property>
</Properties>
</file>