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p>
    <w:p>
      <w:pPr>
        <w:pStyle w:val="4"/>
      </w:pPr>
    </w:p>
    <w:p>
      <w:pPr>
        <w:pStyle w:val="4"/>
      </w:pPr>
      <w:r>
        <w:t>本项目共一个包，采购2024-2026年工业产品监督抽查服务。</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1,800,000.00</w:t>
      </w:r>
    </w:p>
    <w:p>
      <w:pPr>
        <w:pStyle w:val="4"/>
      </w:pPr>
      <w:r>
        <w:t>采购包最高限价（元）: 1,800,000.00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2024-2026年工业产品监督抽查服务</w:t>
            </w:r>
          </w:p>
        </w:tc>
        <w:tc>
          <w:tcPr>
            <w:tcW w:w="848" w:type="dxa"/>
          </w:tcPr>
          <w:p>
            <w:pPr>
              <w:pStyle w:val="4"/>
              <w:jc w:val="right"/>
            </w:pPr>
            <w:r>
              <w:t>1.00</w:t>
            </w:r>
          </w:p>
        </w:tc>
        <w:tc>
          <w:tcPr>
            <w:tcW w:w="1356" w:type="dxa"/>
          </w:tcPr>
          <w:p>
            <w:pPr>
              <w:pStyle w:val="4"/>
              <w:jc w:val="right"/>
            </w:pPr>
            <w:r>
              <w:t>1,800,000.00</w:t>
            </w:r>
          </w:p>
        </w:tc>
        <w:tc>
          <w:tcPr>
            <w:tcW w:w="678" w:type="dxa"/>
          </w:tcPr>
          <w:p>
            <w:pPr>
              <w:pStyle w:val="4"/>
            </w:pPr>
            <w:r>
              <w:t>项</w:t>
            </w:r>
          </w:p>
        </w:tc>
        <w:tc>
          <w:tcPr>
            <w:tcW w:w="678" w:type="dxa"/>
          </w:tcPr>
          <w:p>
            <w:pPr>
              <w:pStyle w:val="4"/>
            </w:pPr>
            <w:r>
              <w:t>其他未列明行业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标的名称：2024-2026年工业产品监督抽查服务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10"/>
        <w:gridCol w:w="2410"/>
        <w:gridCol w:w="37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jc w:val="both"/>
            </w:pPr>
            <w:r>
              <w:rPr>
                <w:rFonts w:ascii="&quot;times new roman&quot;" w:hAnsi="&quot;times new roman&quot;" w:eastAsia="&quot;times new roman&quot;" w:cs="&quot;times new roman&quot;"/>
                <w:sz w:val="32"/>
              </w:rPr>
              <w:t>1.</w:t>
            </w:r>
            <w:r>
              <w:rPr>
                <w:rFonts w:ascii="方正仿宋_gbk" w:hAnsi="方正仿宋_gbk" w:eastAsia="方正仿宋_gbk" w:cs="方正仿宋_gbk"/>
                <w:sz w:val="32"/>
              </w:rPr>
              <w:t>技术要求（功能和质量要求）：</w:t>
            </w:r>
          </w:p>
          <w:p>
            <w:pPr>
              <w:pStyle w:val="4"/>
              <w:jc w:val="both"/>
            </w:pPr>
            <w:r>
              <w:rPr>
                <w:rFonts w:ascii="times new roman, times, serif" w:hAnsi="times new roman, times, serif" w:eastAsia="times new roman, times, serif" w:cs="times new roman, times, serif"/>
                <w:sz w:val="28"/>
              </w:rPr>
              <w:t>1</w:t>
            </w:r>
            <w:r>
              <w:rPr>
                <w:rFonts w:ascii="方正仿宋_gbk" w:hAnsi="方正仿宋_gbk" w:eastAsia="方正仿宋_gbk" w:cs="方正仿宋_gbk"/>
                <w:sz w:val="28"/>
              </w:rPr>
              <w:t>、抽检清单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930"/>
              <w:gridCol w:w="20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序号</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产品名称</w:t>
                  </w:r>
                </w:p>
              </w:tc>
              <w:tc>
                <w:tcPr>
                  <w:tcW w:w="14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b/>
                      <w:sz w:val="24"/>
                    </w:rPr>
                    <w:t>检测范围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有机产品</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1、铅、镉、久效磷、乙酰甲胺磷、蚍虫啉、多菌灵、毒死蜱、氧乐果、氯氟氰菊酯、氯氰菊酯、甲胺磷、联苯菊酯、腐霉利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作业本</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1、纸张定量、内芯纸张施胶度、危险锐利尖端、可迁移元素的最大限量、封面的脱色程度、亮度（白度）。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学生用品</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笔：可迁移元素、笔的上帽安全</w:t>
                  </w:r>
                </w:p>
                <w:p>
                  <w:pPr>
                    <w:pStyle w:val="4"/>
                    <w:jc w:val="center"/>
                  </w:pPr>
                  <w:r>
                    <w:rPr>
                      <w:rFonts w:ascii="仿宋" w:hAnsi="仿宋" w:eastAsia="仿宋" w:cs="仿宋"/>
                      <w:sz w:val="24"/>
                    </w:rPr>
                    <w:t xml:space="preserve">修正液、橡皮擦：可迁移元素   </w:t>
                  </w:r>
                </w:p>
                <w:p>
                  <w:pPr>
                    <w:pStyle w:val="4"/>
                    <w:jc w:val="center"/>
                  </w:pPr>
                  <w:r>
                    <w:rPr>
                      <w:rFonts w:ascii="仿宋" w:hAnsi="仿宋" w:eastAsia="仿宋" w:cs="仿宋"/>
                      <w:sz w:val="24"/>
                    </w:rPr>
                    <w:t>笔袋：甲醛、可迁移元素、染料中芳香胺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4</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玩具</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1、正常使用、可预见的合理滥用、燃烧性能、标识和使用说明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5</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配装眼镜</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1、球镜顶焦度偏差、柱镜顶焦度偏差、柱镜轴位方向偏差、光学中心水平距离偏差、光学中心垂直互差、光学中心单侧水平偏差、镜片材料和表面质量、装配质量、标志（标签）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6</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成品油</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1、车用汽油：研究法辛烷值、硫含量、铅含量、苯含量、芳烃含量、烯烃含量、氧含量、甲醇含量、密度、蒸气压；                                           2、车用柴油：闪点(闭口)、硫含量、多环芳烃含量、脂肪酸甲酯含量、密度、十六烷值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8</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油漆涂料、胶粘剂（水性木器漆、内外墙涂料（含防水涂料）、内外墙腻子、溶剂型木器漆、溶剂型工业漆、胶粘剂）</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1、水性木器涂料：VOC含量、甲醛含量、总铅（Pb）含量、可溶性重金属含量、苯系物总和含量、乙二醇醚及醚酯总和含量、烷基酚聚氧乙烯醚总和含量；</w:t>
                  </w:r>
                </w:p>
                <w:p>
                  <w:pPr>
                    <w:pStyle w:val="4"/>
                    <w:jc w:val="center"/>
                  </w:pPr>
                  <w:r>
                    <w:rPr>
                      <w:rFonts w:ascii="仿宋" w:hAnsi="仿宋" w:eastAsia="仿宋" w:cs="仿宋"/>
                      <w:sz w:val="24"/>
                    </w:rPr>
                    <w:t>2、建筑涂料：VOC含量、甲醛含量、苯系物总和含量、总铅（Pb）含量、可溶性重金属含量、烷基酚聚氧乙烯醚总和含量、对比率、耐洗刷性、耐沾污性、低温稳定性；</w:t>
                  </w:r>
                </w:p>
                <w:p>
                  <w:pPr>
                    <w:pStyle w:val="4"/>
                    <w:jc w:val="center"/>
                  </w:pPr>
                  <w:r>
                    <w:rPr>
                      <w:rFonts w:ascii="仿宋" w:hAnsi="仿宋" w:eastAsia="仿宋" w:cs="仿宋"/>
                      <w:sz w:val="24"/>
                    </w:rPr>
                    <w:t>3、内外墙腻子：VOC含量、甲醛含量、苯系物总和含量、总铅（Pb）含量、可溶性重金属含量干燥时间、初期干燥抗裂性、打磨性、耐水性、粘结强度（标准状态）、耐碱性；</w:t>
                  </w:r>
                </w:p>
                <w:p>
                  <w:pPr>
                    <w:pStyle w:val="4"/>
                    <w:jc w:val="center"/>
                  </w:pPr>
                  <w:r>
                    <w:rPr>
                      <w:rFonts w:ascii="仿宋" w:hAnsi="仿宋" w:eastAsia="仿宋" w:cs="仿宋"/>
                      <w:sz w:val="24"/>
                    </w:rPr>
                    <w:t>4、溶剂型木器涂料：VOC含量，总铅（Pb）含量、可溶性重金属含量、乙二醇醚及醚酯总和含量、苯含量，甲苯与二甲苯（含乙苯）总和含量，多环芳烃含量、游离二异氰酸酯总和含量，甲醇含量、卤代烃总和含量、邻苯二甲酸酯总和含量、铅笔硬度、附着力、划格试验弯曲试验；</w:t>
                  </w:r>
                </w:p>
                <w:p>
                  <w:pPr>
                    <w:pStyle w:val="4"/>
                    <w:jc w:val="center"/>
                  </w:pPr>
                  <w:r>
                    <w:rPr>
                      <w:rFonts w:ascii="仿宋" w:hAnsi="仿宋" w:eastAsia="仿宋" w:cs="仿宋"/>
                      <w:sz w:val="24"/>
                    </w:rPr>
                    <w:t>5、溶剂型工业涂料：苯含量、甲苯与二甲苯（含乙苯）含量总和、卤代烃总和含量、多环芳烃总和含量、乙二醇醚及醚酯总和含量、重金属含量、细度、不挥发物含量、弯曲试验、划格试验、附着力、耐冲击性、柔韧性、铅笔硬度、耐沾污性；</w:t>
                  </w:r>
                </w:p>
                <w:p>
                  <w:pPr>
                    <w:pStyle w:val="4"/>
                    <w:jc w:val="center"/>
                  </w:pPr>
                  <w:r>
                    <w:rPr>
                      <w:rFonts w:ascii="仿宋" w:hAnsi="仿宋" w:eastAsia="仿宋" w:cs="仿宋"/>
                      <w:sz w:val="24"/>
                    </w:rPr>
                    <w:t>6、水性工业涂料：乙二醇醚及醚酯总和含量、重金属含量、细度、贮存稳定性、耐冲击性、不挥发物含量、干燥时间、弯曲试验、划格试验、附着力、铅笔硬度耐磨性、耐酸性、硬度；</w:t>
                  </w:r>
                </w:p>
                <w:p>
                  <w:pPr>
                    <w:pStyle w:val="4"/>
                    <w:jc w:val="center"/>
                  </w:pPr>
                  <w:r>
                    <w:rPr>
                      <w:rFonts w:ascii="仿宋" w:hAnsi="仿宋" w:eastAsia="仿宋" w:cs="仿宋"/>
                      <w:sz w:val="24"/>
                    </w:rPr>
                    <w:t>7、建筑质感涂料：VOC含量、甲醛含量、苯系物总和含量、总铅（Pb）含量、可溶性重金属含量、烷基酚聚氧乙烯醚总和含量、干燥时间、初期干燥抗裂性、低温稳定性、耐沾污性、粘结强度（标准状态）、柔韧性；</w:t>
                  </w:r>
                </w:p>
                <w:p>
                  <w:pPr>
                    <w:pStyle w:val="4"/>
                    <w:jc w:val="center"/>
                  </w:pPr>
                  <w:r>
                    <w:rPr>
                      <w:rFonts w:ascii="仿宋" w:hAnsi="仿宋" w:eastAsia="仿宋" w:cs="仿宋"/>
                      <w:sz w:val="24"/>
                    </w:rPr>
                    <w:t>8、胶粘剂：总挥发性有机物、苯、甲苯＋二甲苯、游离甲醛、二氯甲烷、1,2-二氯乙烷、1,1,2-三氯乙烷、三氯乙烯、1,1,1-三氯乙烷、不挥发物；</w:t>
                  </w:r>
                </w:p>
                <w:p>
                  <w:pPr>
                    <w:pStyle w:val="4"/>
                    <w:jc w:val="center"/>
                  </w:pPr>
                  <w:r>
                    <w:rPr>
                      <w:rFonts w:ascii="仿宋" w:hAnsi="仿宋" w:eastAsia="仿宋" w:cs="仿宋"/>
                      <w:sz w:val="24"/>
                    </w:rPr>
                    <w:t>注：抽检项目具体要求按国家及行业相关标准进行。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9</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电力电缆</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绝缘平均厚度、绝缘最薄处厚度、护套最薄处厚度、导体电阻、成品电压试验、绝缘老化前抗张强度、绝缘老化前断裂伸长率、护套老化前抗张强度、护套老化前断裂伸长率、绝缘热延伸试验、绝缘热收缩试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10</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聚氯乙烯绝缘电线</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1、绝缘平均厚度、绝缘最薄处厚度、护套平均厚度、护套最薄处厚度、导体电阻、成品电压试验、绝缘老化前抗张强度、绝缘老化前断裂伸长率护套老化前抗张强度、护套老化前断裂伸长率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11</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手提式干粉灭火器</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1、20℃喷射性能、灭火剂充装量、超压保护装置动作压力检查（适用时）、结构检查、水压试验、爆破试验（筒体爆破压力、筒体容积膨胀率、筒体爆破口情况、筒体壁厚）、灭火剂检验（主要组分含量）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12</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应急灯源</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1、基本功能试验、充、放电试验、重复转换试验、电压波动试验、转换电压试验、绝缘电阻、接地电阻、耐压试验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13</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塑料购物袋</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1、塑料袋：环保要求（厚度）、跌落性能、漏水性能、封合强度。</w:t>
                  </w:r>
                </w:p>
                <w:p>
                  <w:pPr>
                    <w:pStyle w:val="4"/>
                    <w:jc w:val="center"/>
                  </w:pPr>
                  <w:r>
                    <w:rPr>
                      <w:rFonts w:ascii="仿宋" w:hAnsi="仿宋" w:eastAsia="仿宋" w:cs="仿宋"/>
                      <w:sz w:val="24"/>
                    </w:rPr>
                    <w:t>2、塑料垃圾袋：抗渗漏性能、跌落性能、拉紧绳拉伸力、提吊试验。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14</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埋地给水用聚丙烯(PP)管材</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1、规格尺寸、静液压强度(20℃，100h)、断裂伸长率、纵向回缩率、氧化诱导时间、卫生性能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15</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燃气用埋地聚乙烯(PE)管材</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1、几何尺寸、静液压强度（20℃，100h）、氧化诱导时间、纵向回缩率、炭黑含量、灰分、断裂伸长率、卫生要求。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16</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电动助力车用阀控式铅酸蓄电池</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1、2hr容量、大电流放电特性、低温容量、能量密度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17</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液化石油气</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1、(C3+C4)烃类组分、C5及C5以上烃类组分、二甲醚。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18</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二甲醚</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1、二甲醚质量分数、甲醇质量分数、水质量分数、铜片腐蚀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19</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木制柜</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木工要求（人造板件封边涂饰）；</w:t>
                  </w:r>
                </w:p>
                <w:p>
                  <w:pPr>
                    <w:pStyle w:val="4"/>
                    <w:jc w:val="center"/>
                  </w:pPr>
                  <w:r>
                    <w:rPr>
                      <w:rFonts w:ascii="仿宋" w:hAnsi="仿宋" w:eastAsia="仿宋" w:cs="仿宋"/>
                      <w:sz w:val="24"/>
                    </w:rPr>
                    <w:t>力学性能；</w:t>
                  </w:r>
                </w:p>
                <w:p>
                  <w:pPr>
                    <w:pStyle w:val="4"/>
                    <w:jc w:val="center"/>
                  </w:pPr>
                  <w:r>
                    <w:rPr>
                      <w:rFonts w:ascii="仿宋" w:hAnsi="仿宋" w:eastAsia="仿宋" w:cs="仿宋"/>
                      <w:sz w:val="24"/>
                    </w:rPr>
                    <w:t>结构安全性；</w:t>
                  </w:r>
                </w:p>
                <w:p>
                  <w:pPr>
                    <w:pStyle w:val="4"/>
                    <w:jc w:val="center"/>
                  </w:pPr>
                  <w:r>
                    <w:rPr>
                      <w:rFonts w:ascii="仿宋" w:hAnsi="仿宋" w:eastAsia="仿宋" w:cs="仿宋"/>
                      <w:sz w:val="24"/>
                    </w:rPr>
                    <w:t>甲醛释放量；</w:t>
                  </w:r>
                </w:p>
                <w:p>
                  <w:pPr>
                    <w:pStyle w:val="4"/>
                    <w:jc w:val="center"/>
                  </w:pPr>
                  <w:r>
                    <w:rPr>
                      <w:rFonts w:ascii="仿宋" w:hAnsi="仿宋" w:eastAsia="仿宋" w:cs="仿宋"/>
                      <w:sz w:val="24"/>
                    </w:rPr>
                    <w:t>可溶性重金属；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20</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木质门</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1、甲醛释放量；</w:t>
                  </w:r>
                </w:p>
                <w:p>
                  <w:pPr>
                    <w:pStyle w:val="4"/>
                    <w:jc w:val="center"/>
                  </w:pPr>
                  <w:r>
                    <w:rPr>
                      <w:rFonts w:ascii="仿宋" w:hAnsi="仿宋" w:eastAsia="仿宋" w:cs="仿宋"/>
                      <w:sz w:val="24"/>
                    </w:rPr>
                    <w:t>2、可溶性重金属。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21</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农膜</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1、拉伸强度（拉伸负荷）、断裂标称应变、直角撕裂强度（角撕裂负荷） 、透光率及雾[仅限棚膜Ⅰ型B、C类]流滴性能（初滴时间）[仅限棚膜C类]厚度及厚度偏差（仅限地膜）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22</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肥料</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1、总氮、有效五氧化二磷、氧化钾、氯离子、有机质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23</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配套床上用品</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1、使用说明、甲醛、PH值、色牢度、异味、可分解致癌芳香胺染料、纤维成份含量（产品明示成分含量的）、水洗尺寸变化率、断裂强力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24</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校服</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1、甲醛含量、pH值、耐水色牢度、耐酸汗渍色牢度、耐碱汗渍色牢</w:t>
                  </w:r>
                </w:p>
                <w:p>
                  <w:pPr>
                    <w:pStyle w:val="4"/>
                    <w:jc w:val="center"/>
                  </w:pPr>
                  <w:r>
                    <w:rPr>
                      <w:rFonts w:ascii="仿宋" w:hAnsi="仿宋" w:eastAsia="仿宋" w:cs="仿宋"/>
                      <w:sz w:val="24"/>
                    </w:rPr>
                    <w:t>度、耐摩擦色牢度、纤维成分含量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25</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棉胎</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1、原料要求、纤维成分含量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26</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水嘴</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1、外观、装配、抗水压机械性能、密封性能、流量、抗使用负载、耐腐蚀性能、整体抗拉性能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27</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家用燃气灶</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气密性、热负荷（a、c）、熄火、干烟气中一氧化碳浓度（COα=1）、温升（操作时手必须接触的部位）、熄火保护装置（闭阀时间）、热效率、使用直流电源的灶具的电气性能、灶具燃烧器的燃气阀门设置、电点火装置出现故障时的要求、燃气导管（d、f）、燃烧器的熄火保护装置、石棉（5.3.1.11）、铭牌（7.1.1，f、k、l除外）、除铭牌标志以外的标志、安装使用说明（7.3c、d、h）。</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28</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家用燃气热水器</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燃气系统气密性、烟气中COα=1含量（无风状态）、熄火保护装置（5.2.3.1.1）、烟道堵塞安全装置、风压过大安全装置、防干烧安全装置、电气安全（接地措施、接地电阻、电气强度）、热效率、热水产率、标志（铭牌、安全注意事项）、包装（燃气种类一致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29</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车用尿素</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1、尿素含量、密度、折光率、碱度、缩二脲、醛类、不溶物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30</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电热暖手器、电热水袋</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1、对触及带电部件的防护、输入功率和电流、耐潮湿（15.3）、泄漏电流和电气强度、结构、电源连接和外部软线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31</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食品接触塑料容器、工具产品</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1、感官指标、总迁移量、高锰酸钾消耗量、重金属（Pb）、脱色试验、锑（以Sb计）、乙二醇迁移量、对苯二甲酸迁移量（限PET材质）、双酚A(蒸馏水)（限PC材质）、己内酰胺 （限尼龙材质）、氯乙烯单体（限PVC材质）、苯乙烯和乙苯、1,3-丁二烯迁移量（限PS材质）、致病菌（沙门氏菌）（限塑料一次性餐饮具）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32</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食品接触用塑料制品、食品接触用纸制品</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1、聚对苯二甲酸乙二醇酯（PET）瓶及（PET）瓶坯：感官指标、总迁移量、高锰酸钾消耗量、重金属（以Pb计）、脱色试验 （仅限含着色剂产品）、锑迁移量（以Sb计）</w:t>
                  </w:r>
                </w:p>
                <w:p>
                  <w:pPr>
                    <w:pStyle w:val="4"/>
                    <w:jc w:val="center"/>
                  </w:pPr>
                  <w:r>
                    <w:rPr>
                      <w:rFonts w:ascii="仿宋" w:hAnsi="仿宋" w:eastAsia="仿宋" w:cs="仿宋"/>
                      <w:sz w:val="24"/>
                    </w:rPr>
                    <w:t>2、塑料瓶盖：感官指标、总迁移量、高锰酸钾消耗量、重金属（以Pb计）、脱色试验 （仅限含着色剂产品）</w:t>
                  </w:r>
                </w:p>
                <w:p>
                  <w:pPr>
                    <w:pStyle w:val="4"/>
                    <w:jc w:val="center"/>
                  </w:pPr>
                  <w:r>
                    <w:rPr>
                      <w:rFonts w:ascii="仿宋" w:hAnsi="仿宋" w:eastAsia="仿宋" w:cs="仿宋"/>
                      <w:sz w:val="24"/>
                    </w:rPr>
                    <w:t>3、塑料一次性餐饮具：感官指标、总迁移量、高锰酸钾消耗量、重金属（以Pb计）、脱色试验 （仅限含着色剂产品）</w:t>
                  </w:r>
                </w:p>
                <w:p>
                  <w:pPr>
                    <w:pStyle w:val="4"/>
                    <w:jc w:val="center"/>
                  </w:pPr>
                  <w:r>
                    <w:rPr>
                      <w:rFonts w:ascii="仿宋" w:hAnsi="仿宋" w:eastAsia="仿宋" w:cs="仿宋"/>
                      <w:sz w:val="24"/>
                    </w:rPr>
                    <w:t>4、食品接触用塑料容器：感官指标、总迁移量、高锰酸钾消耗量、重金属（以Pb计）、脱色试验 （仅限含着色剂产品）</w:t>
                  </w:r>
                </w:p>
                <w:p>
                  <w:pPr>
                    <w:pStyle w:val="4"/>
                    <w:jc w:val="center"/>
                  </w:pPr>
                  <w:r>
                    <w:rPr>
                      <w:rFonts w:ascii="仿宋" w:hAnsi="仿宋" w:eastAsia="仿宋" w:cs="仿宋"/>
                      <w:sz w:val="24"/>
                    </w:rPr>
                    <w:t>5、聚碳酸酯（PC）饮用水罐：感官指标、总迁移量、高锰酸钾消耗量、重金属（以Pb计）、脱色试验 （仅限含着色剂产品）、双酚A迁移量（限PC材质）</w:t>
                  </w:r>
                </w:p>
                <w:p>
                  <w:pPr>
                    <w:pStyle w:val="4"/>
                    <w:jc w:val="center"/>
                  </w:pPr>
                  <w:r>
                    <w:rPr>
                      <w:rFonts w:ascii="仿宋" w:hAnsi="仿宋" w:eastAsia="仿宋" w:cs="仿宋"/>
                      <w:sz w:val="24"/>
                    </w:rPr>
                    <w:t>6、非复合膜袋：感官要求、总迁移量、高锰酸钾消耗量、重金属（以Pb计）、脱色试验（限添加了着色剂的产品）</w:t>
                  </w:r>
                </w:p>
                <w:p>
                  <w:pPr>
                    <w:pStyle w:val="4"/>
                    <w:jc w:val="center"/>
                  </w:pPr>
                  <w:r>
                    <w:rPr>
                      <w:rFonts w:ascii="仿宋" w:hAnsi="仿宋" w:eastAsia="仿宋" w:cs="仿宋"/>
                      <w:sz w:val="24"/>
                    </w:rPr>
                    <w:t>7、复合膜袋：感官指标、蒸发残渣、高锰酸钾消耗量、重金属（以Pb计）、溶剂残留量总量、苯类溶剂、甲苯二胺（4%乙酸）</w:t>
                  </w:r>
                </w:p>
                <w:p>
                  <w:pPr>
                    <w:pStyle w:val="4"/>
                    <w:jc w:val="center"/>
                  </w:pPr>
                  <w:r>
                    <w:rPr>
                      <w:rFonts w:ascii="仿宋" w:hAnsi="仿宋" w:eastAsia="仿宋" w:cs="仿宋"/>
                      <w:sz w:val="24"/>
                    </w:rPr>
                    <w:t>8、纸杯：感官要求、铅、砷、甲醛、荧光性物质、总迁移量、高锰酸钾消耗量、重金属（以Pb计）、大肠菌群、沙门氏菌、霉菌、感官指标、渗漏性能、杯身挺度</w:t>
                  </w:r>
                </w:p>
                <w:p>
                  <w:pPr>
                    <w:pStyle w:val="4"/>
                    <w:jc w:val="center"/>
                  </w:pPr>
                  <w:r>
                    <w:rPr>
                      <w:rFonts w:ascii="仿宋" w:hAnsi="仿宋" w:eastAsia="仿宋" w:cs="仿宋"/>
                      <w:sz w:val="24"/>
                    </w:rPr>
                    <w:t>9、纸碗：感官要求、铅、砷、甲醛、荧光性物质、总迁移量、高锰酸钾消耗量、重金属（以Pb计）、大肠菌群、沙门氏菌、霉菌、渗漏性能、抗压强度</w:t>
                  </w:r>
                </w:p>
                <w:p>
                  <w:pPr>
                    <w:pStyle w:val="4"/>
                    <w:jc w:val="center"/>
                  </w:pPr>
                  <w:r>
                    <w:rPr>
                      <w:rFonts w:ascii="仿宋" w:hAnsi="仿宋" w:eastAsia="仿宋" w:cs="仿宋"/>
                      <w:sz w:val="24"/>
                    </w:rPr>
                    <w:t>10、纸浆模塑餐具：感官要求、铅、砷、甲醛、荧光性物质、总迁移量、高锰酸钾消耗量、重金属（以Pb计）、大肠菌群、沙门氏菌、霉菌、漏水性、耐温性能</w:t>
                  </w:r>
                </w:p>
                <w:p>
                  <w:pPr>
                    <w:pStyle w:val="4"/>
                    <w:jc w:val="center"/>
                  </w:pPr>
                  <w:r>
                    <w:rPr>
                      <w:rFonts w:ascii="仿宋" w:hAnsi="仿宋" w:eastAsia="仿宋" w:cs="仿宋"/>
                      <w:sz w:val="24"/>
                    </w:rPr>
                    <w:t>11、纸盒：感官要求、铅、砷、甲醛、荧光性物质、总迁移量、高锰酸钾消耗量、重金属（以Pb计）、大肠菌群、沙门氏菌、霉菌</w:t>
                  </w:r>
                </w:p>
                <w:p>
                  <w:pPr>
                    <w:pStyle w:val="4"/>
                    <w:jc w:val="center"/>
                  </w:pPr>
                  <w:r>
                    <w:rPr>
                      <w:rFonts w:ascii="仿宋" w:hAnsi="仿宋" w:eastAsia="仿宋" w:cs="仿宋"/>
                      <w:sz w:val="24"/>
                    </w:rPr>
                    <w:t>12、食品包装用纸、纸板类：感官要求、铅、砷、甲醛、荧光性物质、总迁移量、高锰酸钾消耗量、重金属（以Pb计）、大肠菌群、沙门氏菌、霉菌</w:t>
                  </w:r>
                </w:p>
                <w:p>
                  <w:pPr>
                    <w:pStyle w:val="4"/>
                    <w:jc w:val="center"/>
                  </w:pPr>
                  <w:r>
                    <w:rPr>
                      <w:rFonts w:ascii="仿宋" w:hAnsi="仿宋" w:eastAsia="仿宋" w:cs="仿宋"/>
                      <w:sz w:val="24"/>
                    </w:rPr>
                    <w:t>13、圆柱形复合罐：感官、大肠菌群、沙门氏菌、霉菌、盖端脱离力、轴向压溃力、快速泄漏试验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33</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食品接触塑料膜袋包装产品</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1、溶剂残留、甲苯二胺、感官、蒸发残渣、高锰酸钾消耗量、重金属（Pb）、脱色试验、拉伸强度、热合强度、剥离力、气体透过率（氧气）、水蒸气透过量（按抽取样品的实际类型选取对应项目）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34</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生活用纸（卫生纸、纸巾纸、手帕纸、厨房纸、湿纸巾）</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1、卫生纸：细菌菌落总数、大肠菌群、金黄色葡萄球菌、溶血性链球菌、横向吸液高度、抗张指数、柔软度、可迁移性荧光物质、球形耐破度（成品层）</w:t>
                  </w:r>
                </w:p>
                <w:p>
                  <w:pPr>
                    <w:pStyle w:val="4"/>
                    <w:jc w:val="center"/>
                  </w:pPr>
                  <w:r>
                    <w:rPr>
                      <w:rFonts w:ascii="仿宋" w:hAnsi="仿宋" w:eastAsia="仿宋" w:cs="仿宋"/>
                      <w:sz w:val="24"/>
                    </w:rPr>
                    <w:t>2、纸巾纸：细菌菌落总数、大肠菌群、真菌菌落总数、绿脓杆菌、金黄色葡萄球菌、溶血性链球菌、横向吸液高度、横向抗张指数、纵向湿抗张强度、灰分、可迁移性荧光物质、亮度（白度）、柔软度</w:t>
                  </w:r>
                </w:p>
                <w:p>
                  <w:pPr>
                    <w:pStyle w:val="4"/>
                    <w:jc w:val="center"/>
                  </w:pPr>
                  <w:r>
                    <w:rPr>
                      <w:rFonts w:ascii="仿宋" w:hAnsi="仿宋" w:eastAsia="仿宋" w:cs="仿宋"/>
                      <w:sz w:val="24"/>
                    </w:rPr>
                    <w:t>3、厨房纸： 细菌菌落总数、大肠菌群、真菌菌落总数、绿脓杆菌、金黄色葡萄球菌、溶血性链球菌、 亮度、横向吸液高度、横向抗张指数、纵向湿抗张强度、洞眼、尘埃度、数量（或质量）偏差、尺寸偏差、偏斜度</w:t>
                  </w:r>
                </w:p>
                <w:p>
                  <w:pPr>
                    <w:pStyle w:val="4"/>
                    <w:jc w:val="center"/>
                  </w:pPr>
                  <w:r>
                    <w:rPr>
                      <w:rFonts w:ascii="仿宋" w:hAnsi="仿宋" w:eastAsia="仿宋" w:cs="仿宋"/>
                      <w:sz w:val="24"/>
                    </w:rPr>
                    <w:t>4、湿纸巾：细菌菌落总数、绿脓杆菌、金黄色葡萄球菌、溶血性链球菌、大肠菌群、真菌菌落总数、可迁移性荧光增白剂、含液量、横向抗张强度、包装密封性、pH</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35</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建筑玻璃</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1、建筑用钢化玻璃:抗冲击性、碎片状态、表面应力</w:t>
                  </w:r>
                </w:p>
                <w:p>
                  <w:pPr>
                    <w:pStyle w:val="4"/>
                    <w:jc w:val="center"/>
                  </w:pPr>
                  <w:r>
                    <w:rPr>
                      <w:rFonts w:ascii="仿宋" w:hAnsi="仿宋" w:eastAsia="仿宋" w:cs="仿宋"/>
                      <w:sz w:val="24"/>
                    </w:rPr>
                    <w:t>2、建筑用夹层玻璃：耐辐照性能、落球冲击剥离试验</w:t>
                  </w:r>
                </w:p>
                <w:p>
                  <w:pPr>
                    <w:pStyle w:val="4"/>
                    <w:jc w:val="center"/>
                  </w:pPr>
                  <w:r>
                    <w:rPr>
                      <w:rFonts w:ascii="仿宋" w:hAnsi="仿宋" w:eastAsia="仿宋" w:cs="仿宋"/>
                      <w:sz w:val="24"/>
                    </w:rPr>
                    <w:t>3、中空玻璃：露点、耐紫外线辐照性能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36</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儿童推车</w:t>
                  </w:r>
                </w:p>
              </w:tc>
              <w:tc>
                <w:tcPr>
                  <w:tcW w:w="14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1、外露的开口管子、危险夹缝、剪切和挤夹点、锐利边缘和尖端、锐利边缘和尖端、小零件、外露突出物、机械部件的连接、推车的适用年龄、制动装置、折叠锁定装置、束缚强度、</w:t>
                  </w:r>
                </w:p>
              </w:tc>
            </w:tr>
          </w:tbl>
          <w:p>
            <w:pPr>
              <w:pStyle w:val="4"/>
              <w:jc w:val="both"/>
            </w:pPr>
          </w:p>
          <w:p>
            <w:pPr>
              <w:pStyle w:val="4"/>
              <w:jc w:val="both"/>
            </w:pPr>
            <w:r>
              <w:rPr>
                <w:rFonts w:ascii="times new roman, times, serif" w:hAnsi="times new roman, times, serif" w:eastAsia="times new roman, times, serif" w:cs="times new roman, times, serif"/>
                <w:sz w:val="28"/>
              </w:rPr>
              <w:t>2</w:t>
            </w:r>
            <w:r>
              <w:rPr>
                <w:rFonts w:ascii="方正仿宋_gbk" w:hAnsi="方正仿宋_gbk" w:eastAsia="方正仿宋_gbk" w:cs="方正仿宋_gbk"/>
                <w:sz w:val="28"/>
              </w:rPr>
              <w:t>、服务内容</w:t>
            </w:r>
          </w:p>
          <w:p>
            <w:pPr>
              <w:pStyle w:val="4"/>
              <w:jc w:val="both"/>
            </w:pPr>
            <w:r>
              <w:rPr>
                <w:rFonts w:ascii="方正仿宋_gbk" w:hAnsi="方正仿宋_gbk" w:eastAsia="方正仿宋_gbk" w:cs="方正仿宋_gbk"/>
                <w:sz w:val="28"/>
              </w:rPr>
              <w:t xml:space="preserve">①抽检程序：抽检程序必须合法合规，出现不合法不合规情况由成交供应商承担重新抽检任务，出现 </w:t>
            </w:r>
            <w:r>
              <w:rPr>
                <w:rFonts w:ascii="times new roman, times, serif" w:hAnsi="times new roman, times, serif" w:eastAsia="times new roman, times, serif" w:cs="times new roman, times, serif"/>
                <w:sz w:val="28"/>
              </w:rPr>
              <w:t xml:space="preserve">10 </w:t>
            </w:r>
            <w:r>
              <w:rPr>
                <w:rFonts w:ascii="方正仿宋_gbk" w:hAnsi="方正仿宋_gbk" w:eastAsia="方正仿宋_gbk" w:cs="方正仿宋_gbk"/>
                <w:sz w:val="28"/>
              </w:rPr>
              <w:t xml:space="preserve">次（含 </w:t>
            </w:r>
            <w:r>
              <w:rPr>
                <w:rFonts w:ascii="times new roman, times, serif" w:hAnsi="times new roman, times, serif" w:eastAsia="times new roman, times, serif" w:cs="times new roman, times, serif"/>
                <w:sz w:val="28"/>
              </w:rPr>
              <w:t xml:space="preserve">10 </w:t>
            </w:r>
            <w:r>
              <w:rPr>
                <w:rFonts w:ascii="方正仿宋_gbk" w:hAnsi="方正仿宋_gbk" w:eastAsia="方正仿宋_gbk" w:cs="方正仿宋_gbk"/>
                <w:sz w:val="28"/>
              </w:rPr>
              <w:t>次）以上立即终止合同。</w:t>
            </w:r>
          </w:p>
          <w:p>
            <w:pPr>
              <w:pStyle w:val="4"/>
              <w:jc w:val="both"/>
            </w:pPr>
            <w:r>
              <w:rPr>
                <w:rFonts w:ascii="方正仿宋_gbk" w:hAnsi="方正仿宋_gbk" w:eastAsia="方正仿宋_gbk" w:cs="方正仿宋_gbk"/>
                <w:sz w:val="28"/>
              </w:rPr>
              <w:t xml:space="preserve">②抽检报告：抽检报告样式、格式符合要求，结果判定的描述必须明确清晰，抽检报告一式 </w:t>
            </w:r>
            <w:r>
              <w:rPr>
                <w:rFonts w:ascii="times new roman, times, serif" w:hAnsi="times new roman, times, serif" w:eastAsia="times new roman, times, serif" w:cs="times new roman, times, serif"/>
                <w:sz w:val="28"/>
              </w:rPr>
              <w:t xml:space="preserve">4 </w:t>
            </w:r>
            <w:r>
              <w:rPr>
                <w:rFonts w:ascii="方正仿宋_gbk" w:hAnsi="方正仿宋_gbk" w:eastAsia="方正仿宋_gbk" w:cs="方正仿宋_gbk"/>
                <w:sz w:val="28"/>
              </w:rPr>
              <w:t>份。全市抽检完成后，要提供抽检报告统计表，并开展抽检结果统计分析，形成分析报告。</w:t>
            </w:r>
          </w:p>
          <w:p>
            <w:pPr>
              <w:pStyle w:val="4"/>
              <w:jc w:val="both"/>
            </w:pPr>
            <w:r>
              <w:rPr>
                <w:rFonts w:ascii="方正仿宋_gbk" w:hAnsi="方正仿宋_gbk" w:eastAsia="方正仿宋_gbk" w:cs="方正仿宋_gbk"/>
                <w:sz w:val="28"/>
              </w:rPr>
              <w:t>③抽检依据：抽样产商品所执行的相关标准、相关法律法规及国家有关规定。</w:t>
            </w:r>
          </w:p>
          <w:p>
            <w:pPr>
              <w:pStyle w:val="4"/>
              <w:jc w:val="both"/>
            </w:pPr>
            <w:r>
              <w:rPr>
                <w:rFonts w:ascii="方正仿宋_gbk" w:hAnsi="方正仿宋_gbk" w:eastAsia="方正仿宋_gbk" w:cs="方正仿宋_gbk"/>
                <w:sz w:val="28"/>
              </w:rPr>
              <w:t>④判定原则：所检项目全部符合判定标准规定的，判定该样品本次受检项目质量合格。所检项目一项或一项以上不合格的，判定该批样品质量不合格。标识不合格的产品，单独判定标识不合格。</w:t>
            </w:r>
          </w:p>
          <w:p>
            <w:pPr>
              <w:pStyle w:val="4"/>
              <w:jc w:val="both"/>
            </w:pPr>
            <w:r>
              <w:rPr>
                <w:rFonts w:ascii="方正仿宋_gbk" w:hAnsi="方正仿宋_gbk" w:eastAsia="方正仿宋_gbk" w:cs="方正仿宋_gbk"/>
                <w:sz w:val="28"/>
              </w:rPr>
              <w:t>⑤异议处理：严格按照国家市场监管总局《产品质量监督抽查管理暂行办法》执行。</w:t>
            </w:r>
          </w:p>
          <w:p>
            <w:pPr>
              <w:pStyle w:val="4"/>
              <w:jc w:val="both"/>
            </w:pPr>
            <w:r>
              <w:rPr>
                <w:rFonts w:ascii="方正仿宋_gbk" w:hAnsi="方正仿宋_gbk" w:eastAsia="方正仿宋_gbk" w:cs="方正仿宋_gbk"/>
                <w:sz w:val="28"/>
              </w:rPr>
              <w:t>⑥样品运输：由成交供应商负责指导甲方抽样人员采取适当保护措施运输样品，避免包装破损及样品之间的交叉污染，送达实验室的样品标签不得涉及企业信息。</w:t>
            </w:r>
          </w:p>
          <w:p>
            <w:pPr>
              <w:pStyle w:val="4"/>
              <w:jc w:val="both"/>
            </w:pPr>
            <w:r>
              <w:rPr>
                <w:rFonts w:ascii="方正仿宋_gbk" w:hAnsi="方正仿宋_gbk" w:eastAsia="方正仿宋_gbk" w:cs="方正仿宋_gbk"/>
                <w:sz w:val="28"/>
              </w:rPr>
              <w:t>⑦样品检验：由成交供应商负责，并对样品检验结果负责。</w:t>
            </w:r>
          </w:p>
          <w:p>
            <w:pPr>
              <w:pStyle w:val="4"/>
              <w:jc w:val="both"/>
            </w:pPr>
            <w:r>
              <w:rPr>
                <w:rFonts w:ascii="方正仿宋_gbk" w:hAnsi="方正仿宋_gbk" w:eastAsia="方正仿宋_gbk" w:cs="方正仿宋_gbk"/>
                <w:sz w:val="28"/>
              </w:rPr>
              <w:t>⑧抽检方案：成交供应商应按照国家市监总局“双随机一公开”、抽样标准规范、产品标准、管理办法等制定抽检实施方案，报采购人同意后组织实施。检验样品和备份样品应当封样，成交供应商工作人员负责填写或指导填写《</w:t>
            </w:r>
            <w:r>
              <w:rPr>
                <w:rFonts w:ascii="times new roman, times, serif" w:hAnsi="times new roman, times, serif" w:eastAsia="times new roman, times, serif" w:cs="times new roman, times, serif"/>
                <w:sz w:val="28"/>
              </w:rPr>
              <w:t xml:space="preserve">XXXX </w:t>
            </w:r>
            <w:r>
              <w:rPr>
                <w:rFonts w:ascii="方正仿宋_gbk" w:hAnsi="方正仿宋_gbk" w:eastAsia="方正仿宋_gbk" w:cs="方正仿宋_gbk"/>
                <w:sz w:val="28"/>
              </w:rPr>
              <w:t>产品质量抽查检验工作单》（以下简称《抽样单》），经营者、采购人执法人员及成交供应商工作人员需在《抽样单》上签名（盖章）。成交供应商对登记的样品信息的真实性负责。</w:t>
            </w:r>
          </w:p>
          <w:p>
            <w:pPr>
              <w:pStyle w:val="4"/>
              <w:jc w:val="both"/>
            </w:pPr>
            <w:r>
              <w:rPr>
                <w:rFonts w:ascii="方正仿宋_gbk" w:hAnsi="方正仿宋_gbk" w:eastAsia="方正仿宋_gbk" w:cs="方正仿宋_gbk"/>
                <w:sz w:val="28"/>
              </w:rPr>
              <w:t>⑨样品复检：严格执行国家市场监管总局《产品质量监督抽查管理暂行办法》，成交供应商要配合采购人开展复检工作。复检时复检机构、初检机构应与复检申请人、组织抽样的机构交接样品，复检结果为最终结果。复检结果合格时，复检费用由有过错的检验机构承担，检验机构无过错的，复检费用由采购人承担；若复检结论仍为不合格时，复检费用由复检申请人承担。</w:t>
            </w:r>
          </w:p>
          <w:p>
            <w:pPr>
              <w:pStyle w:val="4"/>
              <w:jc w:val="both"/>
            </w:pPr>
            <w:r>
              <w:rPr>
                <w:rFonts w:ascii="方正仿宋_gbk" w:hAnsi="方正仿宋_gbk" w:eastAsia="方正仿宋_gbk" w:cs="方正仿宋_gbk"/>
                <w:sz w:val="28"/>
              </w:rPr>
              <w:t>⑩抽样时间：抽样时间由采购人确定，成交供应商应在采购人规定的时间内完成该批抽检，采购人可以分品种、分阶段给成交供应商下达抽检任务。</w:t>
            </w:r>
          </w:p>
          <w:p>
            <w:pPr>
              <w:pStyle w:val="4"/>
              <w:jc w:val="both"/>
            </w:pPr>
            <w:r>
              <w:rPr>
                <w:rFonts w:ascii="方正仿宋_gbk" w:hAnsi="方正仿宋_gbk" w:eastAsia="方正仿宋_gbk" w:cs="方正仿宋_gbk"/>
                <w:sz w:val="28"/>
              </w:rPr>
              <w:t>⑪交流培训：抽检过程中出现新情况新问题时，成交供应商应与采购人进行必要、及时、有效的沟通交流，协商处理有关情况和问题；国省新制定或修改有关产品标准、抽检标准、抽检和质量后处理法规以及产品风险研判、质量分析等政策文件时，成交供应商应发挥专业技术机构作用，对采购人的监管执法人员进行必要的免费培训、提出合理的抽检意见建议，必要时开展抽检企业行、市场行活动，会诊抽检过程、市场主体生产经营过程，提出改进抽检工作和生产经营行为的合理性建议。</w:t>
            </w:r>
          </w:p>
          <w:p>
            <w:pPr>
              <w:pStyle w:val="4"/>
              <w:jc w:val="both"/>
            </w:pPr>
            <w:r>
              <w:rPr>
                <w:rFonts w:ascii="方正仿宋_gbk" w:hAnsi="方正仿宋_gbk" w:eastAsia="方正仿宋_gbk" w:cs="方正仿宋_gbk"/>
                <w:sz w:val="28"/>
              </w:rPr>
              <w:t>⑫考评管理：采购人对成交供应商的考评管理按照《四川省产品质量监督抽查工作细则（试行）》执行。</w:t>
            </w:r>
          </w:p>
          <w:p>
            <w:pPr>
              <w:pStyle w:val="4"/>
              <w:jc w:val="both"/>
            </w:pPr>
            <w:r>
              <w:rPr>
                <w:rFonts w:ascii="方正仿宋_gbk" w:hAnsi="方正仿宋_gbk" w:eastAsia="方正仿宋_gbk" w:cs="方正仿宋_gbk"/>
                <w:sz w:val="28"/>
              </w:rPr>
              <w:t>⑬规则适用：《产品质量法》《四川省产品质量监督管理条例》《产品质量监督抽查管理暂行办法》《四川省产品质量监督抽查工作细则（试行）》以及中省市发布的抽验检验法规、规范性文件是本商务规定的基本依据，凡是与其不一致的规定无效，凡是其没规定的按照本合同规定和甲方与乙方之间的协商一致的意见执行。</w:t>
            </w:r>
          </w:p>
          <w:p>
            <w:pPr>
              <w:pStyle w:val="4"/>
              <w:jc w:val="both"/>
            </w:pPr>
            <w:r>
              <w:rPr>
                <w:rFonts w:ascii="方正仿宋_gbk" w:hAnsi="方正仿宋_gbk" w:eastAsia="方正仿宋_gbk" w:cs="方正仿宋_gbk"/>
                <w:sz w:val="28"/>
              </w:rPr>
              <w:t>⑭检毕样的处置：样品留样期满后，成交供应商应根据产品性状、用途、检验结果、付费购买等情况，按照拍卖、捐赠、销毁和退样等方式进行处置，并承担相关工作产生的费用。样品处置程序应当符合法律法规、上级文件和采购人要求（费用包含在响应报价中）。</w:t>
            </w:r>
          </w:p>
          <w:p>
            <w:pPr>
              <w:pStyle w:val="4"/>
              <w:jc w:val="both"/>
            </w:pPr>
            <w:r>
              <w:rPr>
                <w:rFonts w:ascii="times new roman, times, serif" w:hAnsi="times new roman, times, serif" w:eastAsia="times new roman, times, serif" w:cs="times new roman, times, serif"/>
                <w:sz w:val="28"/>
              </w:rPr>
              <w:t>⑮</w:t>
            </w:r>
            <w:r>
              <w:rPr>
                <w:rFonts w:ascii="方正仿宋_gbk" w:hAnsi="方正仿宋_gbk" w:eastAsia="方正仿宋_gbk" w:cs="方正仿宋_gbk"/>
                <w:sz w:val="28"/>
              </w:rPr>
              <w:t>出具报告时间：原则上为抽样后</w:t>
            </w:r>
            <w:r>
              <w:rPr>
                <w:rFonts w:ascii="times new roman, times, serif" w:hAnsi="times new roman, times, serif" w:eastAsia="times new roman, times, serif" w:cs="times new roman, times, serif"/>
                <w:sz w:val="28"/>
              </w:rPr>
              <w:t>15</w:t>
            </w:r>
            <w:r>
              <w:rPr>
                <w:rFonts w:ascii="方正仿宋_gbk" w:hAnsi="方正仿宋_gbk" w:eastAsia="方正仿宋_gbk" w:cs="方正仿宋_gbk"/>
                <w:sz w:val="28"/>
              </w:rPr>
              <w:t>个工作日，产（商）品标准或检验方法标准中规定的超出</w:t>
            </w:r>
            <w:r>
              <w:rPr>
                <w:rFonts w:ascii="&quot;times new roman&quot;" w:hAnsi="&quot;times new roman&quot;" w:eastAsia="&quot;times new roman&quot;" w:cs="&quot;times new roman&quot;"/>
                <w:sz w:val="28"/>
              </w:rPr>
              <w:t xml:space="preserve"> 15</w:t>
            </w:r>
            <w:r>
              <w:rPr>
                <w:rFonts w:ascii="方正仿宋_gbk" w:hAnsi="方正仿宋_gbk" w:eastAsia="方正仿宋_gbk" w:cs="方正仿宋_gbk"/>
                <w:sz w:val="28"/>
              </w:rPr>
              <w:t>个工作日的按照标准规定时间执行（提供承诺函，承诺函格式自拟）。</w:t>
            </w: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供应商应为本项目提供服务人员（本条无需单独响应，响应情况体现在评分表服务能力评分项中）</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除商务和技术、服务要求外，供应商还应当为落实本项目提供相应的服务能力、业绩、响应时间以及服务方案，包含：1.项目工作计划；2.项目整体服务流程；3.样品的保存管理措施；4.样品抽取管理制度；5.样品的运输及时效性保障措施；6.样品检测方案及质量控制措施；7.结果数据汇总分析；8.检测结果异议处理和复检工作安排；9.人员、仪器、设备管理方案；10.安全保障措施及应急服务方案；需要为本项目配备服务人员，具体详见综合评分明细表。</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自合同签订之日起270日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彭州市（采购人指定地点）。</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根据《财政部关于进一步加强政府采购需求和履约验收管理的指导意见》（财库〔2016〕205号）的相关规定和采购文件及响应文件要求进行验收。</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合同签定后 ，达到付款条件起 10 日内，支付合同总金额的 50.00%。</w:t>
      </w:r>
    </w:p>
    <w:p>
      <w:pPr>
        <w:pStyle w:val="4"/>
      </w:pPr>
      <w:r>
        <w:t>采购包1： 付款条件说明： 项目完成经验收合格后 ，达到付款条件起 10 日内，支付合同总金额的 50.00%。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双方必须遵守合同并执行合同中的各项规定，保证合同的正常履行。如因成交供应商工作人员在履行职务过程中的的疏忽、失职、过错等故意或者过失原因给采购人造成损失或侵害，包括但不限于采购人本身的财产损失、由此而导致的采购人对任何第三方的法律责任等，成交供应商对此均应承担全部的赔偿责任。在执行合同中发生的或与本合同有关的争端，双方应通过友好协商解决，经协商在60天内不能达成协议时，应提交合同签订地仲裁委员会仲裁。</w:t>
      </w:r>
    </w:p>
    <w:p>
      <w:pPr>
        <w:pStyle w:val="4"/>
        <w:jc w:val="left"/>
        <w:outlineLvl w:val="2"/>
      </w:pPr>
      <w:r>
        <w:rPr>
          <w:b/>
          <w:sz w:val="28"/>
        </w:rPr>
        <w:t>3.4其他要求</w:t>
      </w:r>
    </w:p>
    <w:p>
      <w:pPr>
        <w:pStyle w:val="4"/>
      </w:pPr>
    </w:p>
    <w:p>
      <w:pPr>
        <w:pStyle w:val="4"/>
      </w:pPr>
    </w:p>
    <w:p>
      <w:pPr>
        <w:pStyle w:val="4"/>
      </w:pPr>
      <w:r>
        <w:t>3.4.1由于电子标系统文件模板固化原因，本章“3.3.1服务期限”以本处约定为准（原条款无须响应）：3.3.1服务期限： 2024 年抽检服务必须在 2024 年12月31日前完成。具体时间安排须根据采购人提出的进度要求合理分配时间，集中人力、物力进行抽样检验，抽检清单中产（商）品抽检不低于170批次，采购人可对以上产（商）品可作适当调整。3.4.2本章商务要求内容均为实质性要求，供应商须完全响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quot;times new roman&quot;">
    <w:altName w:val="Segoe Print"/>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WFkNWQ5ZmI0YzhlOWE3N2VjMDUwM2E2YTA3MGUifQ=="/>
  </w:docVars>
  <w:rsids>
    <w:rsidRoot w:val="54A06ECF"/>
    <w:rsid w:val="54A0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2024-03-21T06:26:00Z</dcterms:created>
  <dc:creator>helen li</dc:creator>
  <cp:lastModifiedBy>helen li</cp:lastModifiedBy>
  <dcterms:modified xsi:type="dcterms:W3CDTF">2024-03-21T06:27:53Z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E2908EEFBB2B45EF8EB336C4F6B60628_11</vt:lpwstr>
  </property>
</Properties>
</file>